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7CE41" w14:textId="4F8BBBD0" w:rsidR="00FF7685" w:rsidRPr="000822F3" w:rsidRDefault="00FF7685" w:rsidP="00F24904"/>
    <w:p w14:paraId="3EB0E7F7" w14:textId="77777777" w:rsidR="00F24904" w:rsidRPr="000822F3" w:rsidRDefault="00F24904" w:rsidP="00F24904"/>
    <w:p w14:paraId="05EA75D1" w14:textId="3C77B642" w:rsidR="008C3B5E" w:rsidRPr="000822F3" w:rsidRDefault="008C3B5E" w:rsidP="008C3B5E">
      <w:pPr>
        <w:pStyle w:val="Heading1"/>
      </w:pPr>
      <w:r w:rsidRPr="000822F3">
        <w:t xml:space="preserve">POLICY/PROCEDURE: </w:t>
      </w:r>
      <w:r w:rsidR="00DE0D6A" w:rsidRPr="000822F3">
        <w:t>SUBCONTRACTING POLICY</w:t>
      </w:r>
    </w:p>
    <w:p w14:paraId="0EB67AA4" w14:textId="77777777" w:rsidR="008C3B5E" w:rsidRPr="000822F3" w:rsidRDefault="008C3B5E" w:rsidP="008C3B5E">
      <w:pPr>
        <w:pBdr>
          <w:bottom w:val="single" w:sz="4" w:space="1" w:color="auto"/>
        </w:pBdr>
      </w:pPr>
    </w:p>
    <w:p w14:paraId="098BA366" w14:textId="07B87477" w:rsidR="008C3B5E" w:rsidRPr="000822F3" w:rsidRDefault="008C3B5E" w:rsidP="008C3B5E">
      <w:pPr>
        <w:spacing w:before="120" w:after="120"/>
      </w:pPr>
      <w:r w:rsidRPr="000822F3">
        <w:t>Approval required by:</w:t>
      </w:r>
      <w:r w:rsidR="00182AE1">
        <w:tab/>
      </w:r>
      <w:r w:rsidR="00182AE1">
        <w:tab/>
      </w:r>
      <w:r w:rsidR="00261159">
        <w:t>Exec</w:t>
      </w:r>
      <w:r w:rsidR="00FB71F0">
        <w:t>utive Team</w:t>
      </w:r>
      <w:r w:rsidR="00DE0D6A" w:rsidRPr="000822F3">
        <w:tab/>
      </w:r>
      <w:r w:rsidR="00DE0D6A" w:rsidRPr="000822F3">
        <w:tab/>
        <w:t>Y</w:t>
      </w:r>
      <w:r w:rsidRPr="000822F3">
        <w:tab/>
        <w:t xml:space="preserve">Governing Body </w:t>
      </w:r>
      <w:r w:rsidR="00DE0D6A" w:rsidRPr="000822F3">
        <w:tab/>
      </w:r>
      <w:r w:rsidR="00206784" w:rsidRPr="000822F3">
        <w:t>Y</w:t>
      </w:r>
    </w:p>
    <w:p w14:paraId="4D082DE9" w14:textId="520D3260" w:rsidR="008C3B5E" w:rsidRPr="000822F3" w:rsidRDefault="008C3B5E" w:rsidP="00DE0D6A">
      <w:pPr>
        <w:tabs>
          <w:tab w:val="left" w:pos="2835"/>
        </w:tabs>
        <w:spacing w:after="120"/>
      </w:pPr>
      <w:r w:rsidRPr="000822F3">
        <w:t>S</w:t>
      </w:r>
      <w:r w:rsidR="00261159">
        <w:t>enior</w:t>
      </w:r>
      <w:r w:rsidRPr="000822F3">
        <w:t xml:space="preserve"> Lead:</w:t>
      </w:r>
      <w:r w:rsidR="00182AE1">
        <w:tab/>
      </w:r>
      <w:r w:rsidR="009E403B">
        <w:t xml:space="preserve"> </w:t>
      </w:r>
      <w:r w:rsidR="00584385">
        <w:t xml:space="preserve">Executive </w:t>
      </w:r>
      <w:r w:rsidR="005F3A28" w:rsidRPr="000822F3">
        <w:t>Director of MIS</w:t>
      </w:r>
    </w:p>
    <w:p w14:paraId="4DD623C7" w14:textId="5F526151" w:rsidR="008C3B5E" w:rsidRPr="000822F3" w:rsidRDefault="000176D4" w:rsidP="00DE0D6A">
      <w:pPr>
        <w:tabs>
          <w:tab w:val="left" w:pos="2835"/>
        </w:tabs>
        <w:spacing w:after="120"/>
      </w:pPr>
      <w:r>
        <w:t>Responsible</w:t>
      </w:r>
      <w:r w:rsidR="008C3B5E" w:rsidRPr="000822F3">
        <w:t xml:space="preserve"> Manager:</w:t>
      </w:r>
      <w:r w:rsidR="00DE0D6A" w:rsidRPr="000822F3">
        <w:tab/>
      </w:r>
      <w:r w:rsidR="009E403B">
        <w:t xml:space="preserve"> </w:t>
      </w:r>
      <w:r w:rsidR="00484562" w:rsidRPr="00484562">
        <w:t>Data Returns &amp; Apps Manager</w:t>
      </w:r>
    </w:p>
    <w:p w14:paraId="5CD252CB" w14:textId="69FE5CAB" w:rsidR="00B82EF2" w:rsidRPr="000822F3" w:rsidRDefault="00B82EF2" w:rsidP="00B82EF2">
      <w:pPr>
        <w:spacing w:after="120"/>
        <w:rPr>
          <w:rFonts w:cs="Arial"/>
        </w:rPr>
      </w:pPr>
      <w:r w:rsidRPr="000822F3">
        <w:rPr>
          <w:rFonts w:cs="Arial"/>
        </w:rPr>
        <w:t>Date approved:</w:t>
      </w:r>
      <w:r w:rsidRPr="000822F3">
        <w:rPr>
          <w:rFonts w:cs="Arial"/>
        </w:rPr>
        <w:tab/>
      </w:r>
      <w:r w:rsidR="00584385">
        <w:rPr>
          <w:rFonts w:cs="Arial"/>
        </w:rPr>
        <w:tab/>
        <w:t>May 202</w:t>
      </w:r>
      <w:r w:rsidR="00C30DDC">
        <w:rPr>
          <w:rFonts w:cs="Arial"/>
        </w:rPr>
        <w:t>6</w:t>
      </w:r>
    </w:p>
    <w:p w14:paraId="0BBF2611" w14:textId="1EC1C7F2" w:rsidR="00B82EF2" w:rsidRPr="000822F3" w:rsidRDefault="00B82EF2" w:rsidP="00B82EF2">
      <w:pPr>
        <w:spacing w:after="120"/>
        <w:rPr>
          <w:rFonts w:cs="Arial"/>
        </w:rPr>
      </w:pPr>
      <w:r w:rsidRPr="000822F3">
        <w:rPr>
          <w:rFonts w:cs="Arial"/>
        </w:rPr>
        <w:t>Date to be reviewed:</w:t>
      </w:r>
      <w:r w:rsidRPr="000822F3">
        <w:rPr>
          <w:rFonts w:cs="Arial"/>
        </w:rPr>
        <w:tab/>
      </w:r>
      <w:r w:rsidRPr="000822F3">
        <w:rPr>
          <w:rFonts w:cs="Arial"/>
        </w:rPr>
        <w:tab/>
      </w:r>
      <w:r w:rsidR="00622DD0">
        <w:rPr>
          <w:rFonts w:cs="Arial"/>
        </w:rPr>
        <w:t>May 202</w:t>
      </w:r>
      <w:r w:rsidR="00C30DDC">
        <w:rPr>
          <w:rFonts w:cs="Arial"/>
        </w:rPr>
        <w:t>7</w:t>
      </w:r>
    </w:p>
    <w:p w14:paraId="7A66988D" w14:textId="77777777" w:rsidR="008C3B5E" w:rsidRPr="000822F3" w:rsidRDefault="008C3B5E" w:rsidP="008C3B5E">
      <w:pPr>
        <w:pBdr>
          <w:bottom w:val="single" w:sz="4" w:space="1" w:color="auto"/>
        </w:pBdr>
        <w:spacing w:after="120"/>
      </w:pPr>
    </w:p>
    <w:p w14:paraId="4CF7512F" w14:textId="6815410F" w:rsidR="008C3B5E" w:rsidRPr="0057624C" w:rsidRDefault="008C3B5E" w:rsidP="008C3B5E">
      <w:pPr>
        <w:spacing w:after="120"/>
        <w:rPr>
          <w:b/>
          <w:bCs/>
        </w:rPr>
      </w:pPr>
      <w:r w:rsidRPr="000822F3">
        <w:rPr>
          <w:b/>
          <w:bCs/>
        </w:rPr>
        <w:t>Significant changes to policy</w:t>
      </w:r>
    </w:p>
    <w:p w14:paraId="659C24E4" w14:textId="582501C5" w:rsidR="00EB7E2A" w:rsidRDefault="00C30DDC" w:rsidP="00AF2CC9">
      <w:pPr>
        <w:pStyle w:val="ListParagraph"/>
        <w:numPr>
          <w:ilvl w:val="0"/>
          <w:numId w:val="20"/>
        </w:numPr>
        <w:spacing w:after="120"/>
      </w:pPr>
      <w:bookmarkStart w:id="0" w:name="_Hlk80865503"/>
      <w:r>
        <w:t>Subcontractor standard updated to reflect new version</w:t>
      </w:r>
      <w:r w:rsidR="00032DC9">
        <w:t xml:space="preserve"> published by DfE</w:t>
      </w:r>
    </w:p>
    <w:p w14:paraId="5C94F130" w14:textId="0FED1F82" w:rsidR="00933479" w:rsidRDefault="00933479" w:rsidP="00AF2CC9">
      <w:pPr>
        <w:pStyle w:val="ListParagraph"/>
        <w:numPr>
          <w:ilvl w:val="0"/>
          <w:numId w:val="20"/>
        </w:numPr>
        <w:spacing w:after="120"/>
      </w:pPr>
      <w:r>
        <w:t>Q</w:t>
      </w:r>
      <w:r w:rsidR="005B7F9C">
        <w:t>uality Monitoring and Compliance</w:t>
      </w:r>
      <w:r>
        <w:t xml:space="preserve"> section added.</w:t>
      </w:r>
    </w:p>
    <w:p w14:paraId="5DBBF350" w14:textId="3FB3F6FE" w:rsidR="00B70803" w:rsidRPr="0057624C" w:rsidRDefault="00B70803" w:rsidP="00AF2CC9">
      <w:pPr>
        <w:pStyle w:val="ListParagraph"/>
        <w:numPr>
          <w:ilvl w:val="0"/>
          <w:numId w:val="20"/>
        </w:numPr>
        <w:spacing w:after="120"/>
      </w:pPr>
      <w:r>
        <w:t xml:space="preserve">Details added to Contract Award and Management section regarding the use of brokers and </w:t>
      </w:r>
      <w:r w:rsidR="005C307F">
        <w:t>advanced learner loan subcontracting is not permitted.</w:t>
      </w:r>
    </w:p>
    <w:bookmarkEnd w:id="0"/>
    <w:p w14:paraId="58239C5A" w14:textId="32C25823" w:rsidR="008C3B5E" w:rsidRPr="000822F3" w:rsidRDefault="008C3B5E" w:rsidP="008C3B5E">
      <w:pPr>
        <w:pBdr>
          <w:bottom w:val="single" w:sz="4" w:space="1" w:color="auto"/>
        </w:pBdr>
        <w:spacing w:after="120"/>
      </w:pPr>
    </w:p>
    <w:p w14:paraId="69321650" w14:textId="407BEF93" w:rsidR="008C3B5E" w:rsidRPr="000822F3" w:rsidRDefault="008C3B5E" w:rsidP="008C3B5E">
      <w:pPr>
        <w:spacing w:after="120"/>
        <w:rPr>
          <w:b/>
          <w:bCs/>
        </w:rPr>
      </w:pPr>
      <w:r w:rsidRPr="000822F3">
        <w:rPr>
          <w:b/>
          <w:bCs/>
        </w:rPr>
        <w:t>Impact of changes</w:t>
      </w:r>
    </w:p>
    <w:p w14:paraId="418EF14D" w14:textId="05A3A775" w:rsidR="008C3B5E" w:rsidRPr="000822F3" w:rsidRDefault="00AF7941" w:rsidP="008C3B5E">
      <w:pPr>
        <w:spacing w:after="120"/>
      </w:pPr>
      <w:r w:rsidRPr="000822F3">
        <w:t>None</w:t>
      </w:r>
    </w:p>
    <w:p w14:paraId="36B5E965" w14:textId="3DE43EAC" w:rsidR="00282278" w:rsidRPr="00DB0F37" w:rsidRDefault="00282278" w:rsidP="00DB0F37">
      <w:pPr>
        <w:spacing w:after="120"/>
      </w:pPr>
      <w:r w:rsidRPr="000822F3">
        <w:t>______________________</w:t>
      </w:r>
      <w:r w:rsidR="008C3B5E" w:rsidRPr="000822F3">
        <w:t>__________________________________________________________________</w:t>
      </w:r>
    </w:p>
    <w:p w14:paraId="5FC005CE" w14:textId="20D8C2CD" w:rsidR="009D1F31" w:rsidRPr="000822F3" w:rsidRDefault="00706C0E" w:rsidP="003F1D03">
      <w:pPr>
        <w:pStyle w:val="Heading1"/>
        <w:spacing w:before="240"/>
        <w:rPr>
          <w:rFonts w:eastAsia="Times New Roman"/>
        </w:rPr>
      </w:pPr>
      <w:r w:rsidRPr="000822F3">
        <w:rPr>
          <w:rFonts w:eastAsia="Times New Roman"/>
        </w:rPr>
        <w:t xml:space="preserve">SCOPE </w:t>
      </w:r>
      <w:r w:rsidR="00497661" w:rsidRPr="000822F3">
        <w:rPr>
          <w:rFonts w:eastAsia="Times New Roman"/>
        </w:rPr>
        <w:t xml:space="preserve">AND </w:t>
      </w:r>
      <w:r w:rsidR="009D1F31" w:rsidRPr="000822F3">
        <w:rPr>
          <w:rFonts w:eastAsia="Times New Roman"/>
        </w:rPr>
        <w:t>PURPOSE</w:t>
      </w:r>
    </w:p>
    <w:p w14:paraId="64AB98F5" w14:textId="0770BA8F" w:rsidR="00DE0D6A" w:rsidRPr="000822F3" w:rsidRDefault="00DE0D6A" w:rsidP="00DE0D6A">
      <w:pPr>
        <w:rPr>
          <w:rFonts w:cs="Arial"/>
        </w:rPr>
      </w:pPr>
      <w:r w:rsidRPr="000822F3">
        <w:rPr>
          <w:rFonts w:cs="Arial"/>
        </w:rPr>
        <w:t xml:space="preserve">To outline </w:t>
      </w:r>
      <w:bookmarkStart w:id="1" w:name="_Hlk80865534"/>
      <w:r w:rsidR="0021732F" w:rsidRPr="000822F3">
        <w:rPr>
          <w:rFonts w:cs="Arial"/>
          <w:lang w:eastAsia="en-GB"/>
        </w:rPr>
        <w:t xml:space="preserve">Barnsley College and ITS (“the College”), </w:t>
      </w:r>
      <w:bookmarkEnd w:id="1"/>
      <w:r w:rsidRPr="000822F3">
        <w:rPr>
          <w:rFonts w:cs="Arial"/>
        </w:rPr>
        <w:t>approval to subcontracting and set a framework within which relationships with subcontracting partners can be developed.</w:t>
      </w:r>
    </w:p>
    <w:p w14:paraId="0AB1C44A" w14:textId="77777777" w:rsidR="005F2B23" w:rsidRPr="000822F3" w:rsidRDefault="005F2B23" w:rsidP="00DE0D6A">
      <w:pPr>
        <w:rPr>
          <w:rFonts w:cs="Arial"/>
        </w:rPr>
      </w:pPr>
    </w:p>
    <w:p w14:paraId="077CFD59" w14:textId="77777777" w:rsidR="009D1F31" w:rsidRPr="000822F3" w:rsidRDefault="009D1F31" w:rsidP="003F1D03">
      <w:pPr>
        <w:pStyle w:val="Heading1"/>
        <w:rPr>
          <w:rFonts w:eastAsia="Times New Roman"/>
        </w:rPr>
      </w:pPr>
      <w:r w:rsidRPr="000822F3">
        <w:rPr>
          <w:rFonts w:eastAsia="Times New Roman"/>
        </w:rPr>
        <w:t>BACKGROUND</w:t>
      </w:r>
    </w:p>
    <w:p w14:paraId="5807F7DB" w14:textId="393C8C1B" w:rsidR="005F2B23" w:rsidRPr="000822F3" w:rsidRDefault="00AF5F60" w:rsidP="00AF5F60">
      <w:r w:rsidRPr="000822F3">
        <w:t xml:space="preserve">This Policy is a mandatory requirement that must be in place prior to participating in any subcontracting activity. The Policy has been written in accordance with the </w:t>
      </w:r>
      <w:r w:rsidR="008966D3">
        <w:t>Department for Education (</w:t>
      </w:r>
      <w:r w:rsidR="008E6F47">
        <w:t>DfE</w:t>
      </w:r>
      <w:r w:rsidRPr="000822F3">
        <w:t xml:space="preserve">) </w:t>
      </w:r>
      <w:r w:rsidR="00873F9E">
        <w:t xml:space="preserve">and </w:t>
      </w:r>
      <w:r w:rsidR="00873F9E" w:rsidRPr="00873F9E">
        <w:t>the relevant Combined Authority</w:t>
      </w:r>
      <w:r w:rsidR="00873F9E">
        <w:t xml:space="preserve"> </w:t>
      </w:r>
      <w:r w:rsidRPr="000822F3">
        <w:t>requirements as set out in the current Funding Rules</w:t>
      </w:r>
      <w:r w:rsidR="00972DC3" w:rsidRPr="000822F3">
        <w:t>.</w:t>
      </w:r>
    </w:p>
    <w:p w14:paraId="7F663D34" w14:textId="77777777" w:rsidR="00AF5F60" w:rsidRDefault="00AF5F60" w:rsidP="005F2B23"/>
    <w:p w14:paraId="3B400BFB" w14:textId="35B7D287" w:rsidR="00CF2359" w:rsidRDefault="00CF2359" w:rsidP="00CF2359">
      <w:r>
        <w:t>This policy is designed to ensure:</w:t>
      </w:r>
    </w:p>
    <w:p w14:paraId="23185D60" w14:textId="681447CD" w:rsidR="00CF2359" w:rsidRDefault="00CF2359" w:rsidP="00AF2CC9">
      <w:pPr>
        <w:pStyle w:val="ListParagraph"/>
        <w:numPr>
          <w:ilvl w:val="0"/>
          <w:numId w:val="20"/>
        </w:numPr>
      </w:pPr>
      <w:r>
        <w:t>The provision offered by the Subcontractor supports the strategic objectives of the College.</w:t>
      </w:r>
    </w:p>
    <w:p w14:paraId="78C2E066" w14:textId="6D137D9A" w:rsidR="00CF2359" w:rsidRDefault="00CF2359" w:rsidP="00AF2CC9">
      <w:pPr>
        <w:pStyle w:val="ListParagraph"/>
        <w:numPr>
          <w:ilvl w:val="0"/>
          <w:numId w:val="20"/>
        </w:numPr>
      </w:pPr>
      <w:r>
        <w:t>The College’s vision, purpose and values are upheld by Subcontractor.</w:t>
      </w:r>
    </w:p>
    <w:p w14:paraId="67278F8E" w14:textId="1FC67FFF" w:rsidR="00CF2359" w:rsidRDefault="00CF2359" w:rsidP="00AF2CC9">
      <w:pPr>
        <w:pStyle w:val="ListParagraph"/>
        <w:numPr>
          <w:ilvl w:val="0"/>
          <w:numId w:val="20"/>
        </w:numPr>
      </w:pPr>
      <w:r>
        <w:t>That the College’s subcontracted arrangements are delivered within a robust framework which is transparent and in the best interests of all parties involved.</w:t>
      </w:r>
    </w:p>
    <w:p w14:paraId="73BB2701" w14:textId="1D2927A4" w:rsidR="00CF2359" w:rsidRDefault="00CF2359" w:rsidP="00AF2CC9">
      <w:pPr>
        <w:pStyle w:val="ListParagraph"/>
        <w:numPr>
          <w:ilvl w:val="0"/>
          <w:numId w:val="20"/>
        </w:numPr>
      </w:pPr>
      <w:r>
        <w:t>That subcontracted provision is fit for purpose and of high quality.</w:t>
      </w:r>
    </w:p>
    <w:p w14:paraId="6DD44B32" w14:textId="4EE2756D" w:rsidR="00CF2359" w:rsidRDefault="00CF2359" w:rsidP="00AF2CC9">
      <w:pPr>
        <w:pStyle w:val="ListParagraph"/>
        <w:numPr>
          <w:ilvl w:val="0"/>
          <w:numId w:val="20"/>
        </w:numPr>
      </w:pPr>
      <w:r>
        <w:t>That the College’s learners receive the best service possible.</w:t>
      </w:r>
    </w:p>
    <w:p w14:paraId="495191EC" w14:textId="63C3874E" w:rsidR="00CF2359" w:rsidRDefault="00CF2359" w:rsidP="00AF2CC9">
      <w:pPr>
        <w:pStyle w:val="ListParagraph"/>
        <w:numPr>
          <w:ilvl w:val="0"/>
          <w:numId w:val="20"/>
        </w:numPr>
      </w:pPr>
      <w:r>
        <w:t>That subcontracted arrangements adhere to relevant Department for Education (DfE) guidelines and funding rules, the South Yorkshire Mayoral Combined Authority (SYMCA) and to the College’s relevant policies, including Equality and Diversity, Safeguarding and Preventing Extremism and Radicalisation.</w:t>
      </w:r>
    </w:p>
    <w:p w14:paraId="20849AC0" w14:textId="77777777" w:rsidR="0022079B" w:rsidRDefault="0022079B" w:rsidP="0022079B"/>
    <w:p w14:paraId="1C1637AF" w14:textId="7CB9D458" w:rsidR="0022079B" w:rsidRDefault="0022079B" w:rsidP="0022079B">
      <w:pPr>
        <w:pStyle w:val="Heading2"/>
      </w:pPr>
      <w:r>
        <w:t>Subcontractor Definition</w:t>
      </w:r>
    </w:p>
    <w:p w14:paraId="25541FC6" w14:textId="79B1A596" w:rsidR="00674E2D" w:rsidRDefault="00674E2D" w:rsidP="00674E2D">
      <w:r w:rsidRPr="00EE7BFF">
        <w:t>The DfE defines a subcontractor as an organisation that is engaged in a contractual and legally binding arrangement with a lead provider to deliver provision ultimately funded by the DfE and/or</w:t>
      </w:r>
      <w:r w:rsidR="00CB0C11">
        <w:t xml:space="preserve"> </w:t>
      </w:r>
      <w:r w:rsidRPr="00EE7BFF">
        <w:t xml:space="preserve">SYMCA. </w:t>
      </w:r>
    </w:p>
    <w:p w14:paraId="0C5B382D" w14:textId="77777777" w:rsidR="00DB0F37" w:rsidRPr="00EE7BFF" w:rsidRDefault="00DB0F37" w:rsidP="00674E2D"/>
    <w:p w14:paraId="2753B06B" w14:textId="2F2A670D" w:rsidR="00674E2D" w:rsidRPr="00EE7BFF" w:rsidRDefault="00674E2D" w:rsidP="00674E2D">
      <w:pPr>
        <w:rPr>
          <w:b/>
          <w:bCs/>
        </w:rPr>
      </w:pPr>
      <w:r w:rsidRPr="00EE7BFF">
        <w:rPr>
          <w:b/>
          <w:bCs/>
        </w:rPr>
        <w:lastRenderedPageBreak/>
        <w:t xml:space="preserve">What is a Main Provider </w:t>
      </w:r>
    </w:p>
    <w:p w14:paraId="50A3C945" w14:textId="38F3ADB7" w:rsidR="00674E2D" w:rsidRDefault="00674E2D" w:rsidP="00674E2D">
      <w:r w:rsidRPr="00EE7BFF">
        <w:t xml:space="preserve">A main provider is a training organisation or employer that has a direct contractual relationship with the DfE and/or SYMCA. In the case of this </w:t>
      </w:r>
      <w:r w:rsidR="004F375D">
        <w:t>policy</w:t>
      </w:r>
      <w:r w:rsidRPr="00EE7BFF">
        <w:t xml:space="preserve">, </w:t>
      </w:r>
      <w:r w:rsidR="004F375D">
        <w:t>t</w:t>
      </w:r>
      <w:r w:rsidRPr="00EE7BFF">
        <w:t>he College is the main (or lead) provider.</w:t>
      </w:r>
    </w:p>
    <w:p w14:paraId="23A56366" w14:textId="77777777" w:rsidR="00CB0C11" w:rsidRPr="00EE7BFF" w:rsidRDefault="00CB0C11" w:rsidP="00674E2D"/>
    <w:p w14:paraId="366D3216" w14:textId="1AE30059" w:rsidR="00674E2D" w:rsidRPr="00EE7BFF" w:rsidRDefault="00674E2D" w:rsidP="00674E2D">
      <w:pPr>
        <w:rPr>
          <w:b/>
          <w:bCs/>
        </w:rPr>
      </w:pPr>
      <w:r w:rsidRPr="00EE7BFF">
        <w:rPr>
          <w:b/>
          <w:bCs/>
        </w:rPr>
        <w:t xml:space="preserve">What is a Subcontractor </w:t>
      </w:r>
    </w:p>
    <w:p w14:paraId="231544FF" w14:textId="41219DC9" w:rsidR="00BC2D82" w:rsidRDefault="00674E2D" w:rsidP="00674E2D">
      <w:r w:rsidRPr="00EE7BFF">
        <w:t xml:space="preserve">A subcontractor is a separate legal entity that has an agreement with </w:t>
      </w:r>
      <w:r w:rsidR="00A11B57">
        <w:t xml:space="preserve">the </w:t>
      </w:r>
      <w:r w:rsidRPr="00EE7BFF">
        <w:t>College to deliver any element of the education and training funded by the DfE and/or SYMCA.</w:t>
      </w:r>
      <w:r w:rsidR="00CF6868">
        <w:t xml:space="preserve"> </w:t>
      </w:r>
      <w:r w:rsidR="00BC2D82" w:rsidRPr="002903CF">
        <w:t xml:space="preserve">SYMCA </w:t>
      </w:r>
      <w:r w:rsidR="00CF6868">
        <w:t>further</w:t>
      </w:r>
      <w:r w:rsidR="002903CF" w:rsidRPr="002903CF">
        <w:t xml:space="preserve"> outlines that subcontracting</w:t>
      </w:r>
      <w:r w:rsidR="00BC2D82" w:rsidRPr="002903CF">
        <w:t xml:space="preserve"> may in</w:t>
      </w:r>
      <w:r w:rsidR="00BC2D82">
        <w:t xml:space="preserve">clude </w:t>
      </w:r>
      <w:r w:rsidR="002903CF">
        <w:t xml:space="preserve">the </w:t>
      </w:r>
      <w:r w:rsidR="00BC2D82">
        <w:t xml:space="preserve">recruitment of learners to a programme (learner find services), </w:t>
      </w:r>
      <w:r w:rsidR="002042AB">
        <w:t xml:space="preserve">undertaking </w:t>
      </w:r>
      <w:r w:rsidR="00BC2D82">
        <w:t>initial assessment</w:t>
      </w:r>
      <w:r w:rsidR="00D64BC3">
        <w:t xml:space="preserve"> and </w:t>
      </w:r>
      <w:r w:rsidR="00BC2D82">
        <w:t>Information, Advice and Guidance (IAG), and services bought in which form part of delivery.</w:t>
      </w:r>
    </w:p>
    <w:p w14:paraId="41920C04" w14:textId="77777777" w:rsidR="00BC2D82" w:rsidRDefault="00BC2D82" w:rsidP="00674E2D"/>
    <w:p w14:paraId="16273D8D" w14:textId="1A2B21EE" w:rsidR="00674E2D" w:rsidRPr="00EE7BFF" w:rsidRDefault="00674E2D" w:rsidP="00674E2D">
      <w:r w:rsidRPr="00EE7BFF">
        <w:t>Subcontractors may be called partners. However, for DfE/SYMCA purposes, they are classified as subcontractors</w:t>
      </w:r>
      <w:r w:rsidR="00CF392C">
        <w:t>.</w:t>
      </w:r>
    </w:p>
    <w:p w14:paraId="726493DE" w14:textId="2640F718" w:rsidR="00CF2359" w:rsidRDefault="00CF2359" w:rsidP="0022079B"/>
    <w:p w14:paraId="5B1940D6" w14:textId="137A3015" w:rsidR="003F162F" w:rsidRDefault="00D2380A" w:rsidP="004D1740">
      <w:pPr>
        <w:pStyle w:val="Heading2"/>
      </w:pPr>
      <w:r>
        <w:t>Sub</w:t>
      </w:r>
      <w:r w:rsidR="0022079B">
        <w:t>c</w:t>
      </w:r>
      <w:r>
        <w:t>ontractor</w:t>
      </w:r>
      <w:r w:rsidR="00685B70">
        <w:t xml:space="preserve"> </w:t>
      </w:r>
      <w:r w:rsidR="00DE0D6A" w:rsidRPr="000822F3">
        <w:t>Rationale</w:t>
      </w:r>
    </w:p>
    <w:p w14:paraId="3742BA74" w14:textId="77777777" w:rsidR="003F162F" w:rsidRDefault="00E57C7A" w:rsidP="003F162F">
      <w:r>
        <w:t xml:space="preserve">The College engages with subcontractors </w:t>
      </w:r>
      <w:proofErr w:type="gramStart"/>
      <w:r>
        <w:t>in order to</w:t>
      </w:r>
      <w:proofErr w:type="gramEnd"/>
      <w:r>
        <w:t>:</w:t>
      </w:r>
    </w:p>
    <w:p w14:paraId="042A4C3D" w14:textId="77E214BE" w:rsidR="009E4344" w:rsidRPr="007C4194" w:rsidRDefault="009E4344" w:rsidP="00AF2CC9">
      <w:pPr>
        <w:pStyle w:val="ListParagraph"/>
        <w:numPr>
          <w:ilvl w:val="0"/>
          <w:numId w:val="52"/>
        </w:numPr>
      </w:pPr>
      <w:r w:rsidRPr="007C4194">
        <w:t xml:space="preserve">Enhance the opportunities available to </w:t>
      </w:r>
      <w:r w:rsidR="001106B8">
        <w:t>learners</w:t>
      </w:r>
      <w:r w:rsidR="00C77D7B" w:rsidRPr="007C4194">
        <w:t>.</w:t>
      </w:r>
    </w:p>
    <w:p w14:paraId="60A6C489" w14:textId="76527A27" w:rsidR="009E4344" w:rsidRPr="007C4194" w:rsidRDefault="009E4344" w:rsidP="00AF2CC9">
      <w:pPr>
        <w:pStyle w:val="ListParagraph"/>
        <w:numPr>
          <w:ilvl w:val="0"/>
          <w:numId w:val="12"/>
        </w:numPr>
      </w:pPr>
      <w:r w:rsidRPr="007C4194">
        <w:t xml:space="preserve">Fill gaps in niche or expert </w:t>
      </w:r>
      <w:r w:rsidR="00540C43" w:rsidRPr="007C4194">
        <w:t>provision or</w:t>
      </w:r>
      <w:r w:rsidRPr="007C4194">
        <w:t xml:space="preserve"> provide better access to facilities</w:t>
      </w:r>
      <w:r w:rsidR="00C77D7B" w:rsidRPr="007C4194">
        <w:t>.</w:t>
      </w:r>
    </w:p>
    <w:p w14:paraId="78CEA6C4" w14:textId="356E2B56" w:rsidR="009E4344" w:rsidRPr="007C4194" w:rsidRDefault="009E4344" w:rsidP="00AF2CC9">
      <w:pPr>
        <w:pStyle w:val="ListParagraph"/>
        <w:numPr>
          <w:ilvl w:val="0"/>
          <w:numId w:val="12"/>
        </w:numPr>
      </w:pPr>
      <w:r w:rsidRPr="007C4194">
        <w:t>Support better geographical access for learners</w:t>
      </w:r>
      <w:r w:rsidR="00C77D7B" w:rsidRPr="007C4194">
        <w:t>.</w:t>
      </w:r>
    </w:p>
    <w:p w14:paraId="2AE095BB" w14:textId="56182149" w:rsidR="009E4344" w:rsidRPr="007C4194" w:rsidRDefault="007251FF" w:rsidP="00AF2CC9">
      <w:pPr>
        <w:pStyle w:val="ListParagraph"/>
        <w:numPr>
          <w:ilvl w:val="0"/>
          <w:numId w:val="12"/>
        </w:numPr>
      </w:pPr>
      <w:r>
        <w:t>Support</w:t>
      </w:r>
      <w:r w:rsidR="009E4344" w:rsidRPr="007C4194">
        <w:t xml:space="preserve"> an entry point for disadvantaged groups</w:t>
      </w:r>
      <w:r w:rsidR="00C77D7B" w:rsidRPr="007C4194">
        <w:t>.</w:t>
      </w:r>
    </w:p>
    <w:p w14:paraId="057A88B2" w14:textId="08F478AC" w:rsidR="009E4344" w:rsidRPr="007C4194" w:rsidRDefault="00DC078B" w:rsidP="00AF2CC9">
      <w:pPr>
        <w:pStyle w:val="ListParagraph"/>
        <w:numPr>
          <w:ilvl w:val="0"/>
          <w:numId w:val="12"/>
        </w:numPr>
      </w:pPr>
      <w:r>
        <w:t>Support individuals who share protected characteristics</w:t>
      </w:r>
      <w:r w:rsidR="001A4C14">
        <w:t>, where there might otherwise be gaps.</w:t>
      </w:r>
    </w:p>
    <w:p w14:paraId="3AF81D81" w14:textId="77777777" w:rsidR="007C4194" w:rsidRDefault="007C4194" w:rsidP="00DE0D6A">
      <w:pPr>
        <w:rPr>
          <w:rFonts w:cs="Arial"/>
        </w:rPr>
      </w:pPr>
    </w:p>
    <w:p w14:paraId="3B58C714" w14:textId="744CA237" w:rsidR="00DE0D6A" w:rsidRPr="000822F3" w:rsidRDefault="00E44AFA" w:rsidP="00DE0D6A">
      <w:pPr>
        <w:rPr>
          <w:rFonts w:cs="Arial"/>
        </w:rPr>
      </w:pPr>
      <w:r w:rsidRPr="000822F3">
        <w:rPr>
          <w:rFonts w:cs="Arial"/>
        </w:rPr>
        <w:t xml:space="preserve">Provision that meets one or more of the following </w:t>
      </w:r>
      <w:r w:rsidR="00DE0D6A" w:rsidRPr="000822F3">
        <w:rPr>
          <w:rFonts w:cs="Arial"/>
        </w:rPr>
        <w:t>c</w:t>
      </w:r>
      <w:r w:rsidR="0040137C" w:rsidRPr="000822F3">
        <w:rPr>
          <w:rFonts w:cs="Arial"/>
        </w:rPr>
        <w:t>riteria will be prioritised</w:t>
      </w:r>
      <w:r w:rsidR="00DE0D6A" w:rsidRPr="000822F3">
        <w:rPr>
          <w:rFonts w:cs="Arial"/>
        </w:rPr>
        <w:t>:</w:t>
      </w:r>
    </w:p>
    <w:p w14:paraId="57DA29A6" w14:textId="23A3D55A" w:rsidR="00DE0D6A" w:rsidRPr="007C4194" w:rsidRDefault="00DE0D6A" w:rsidP="00AF2CC9">
      <w:pPr>
        <w:pStyle w:val="ListParagraph"/>
        <w:numPr>
          <w:ilvl w:val="0"/>
          <w:numId w:val="13"/>
        </w:numPr>
      </w:pPr>
      <w:r w:rsidRPr="007C4194">
        <w:t>Where the provision is</w:t>
      </w:r>
      <w:r w:rsidR="00AE43CF" w:rsidRPr="007C4194">
        <w:t xml:space="preserve"> in a vocational area that </w:t>
      </w:r>
      <w:r w:rsidR="00DA13CB" w:rsidRPr="007C4194">
        <w:t>the College</w:t>
      </w:r>
      <w:r w:rsidRPr="007C4194">
        <w:t xml:space="preserve"> does not offer.</w:t>
      </w:r>
    </w:p>
    <w:p w14:paraId="677CA7E9" w14:textId="01BE4738" w:rsidR="00DE0D6A" w:rsidRPr="007C4194" w:rsidRDefault="00DE0D6A" w:rsidP="00AF2CC9">
      <w:pPr>
        <w:pStyle w:val="ListParagraph"/>
        <w:numPr>
          <w:ilvl w:val="0"/>
          <w:numId w:val="13"/>
        </w:numPr>
      </w:pPr>
      <w:r w:rsidRPr="007C4194">
        <w:t>Where the provision is aimed at engaging hard to reach or NEET learners.</w:t>
      </w:r>
    </w:p>
    <w:p w14:paraId="7BBED4E1" w14:textId="168B82E3" w:rsidR="00A57DD1" w:rsidRPr="007C4194" w:rsidRDefault="005C0AB4" w:rsidP="00AF2CC9">
      <w:pPr>
        <w:pStyle w:val="ListParagraph"/>
        <w:numPr>
          <w:ilvl w:val="0"/>
          <w:numId w:val="13"/>
        </w:numPr>
      </w:pPr>
      <w:r w:rsidRPr="007C4194">
        <w:t xml:space="preserve">Where the provision </w:t>
      </w:r>
      <w:r w:rsidR="00A57DD1" w:rsidRPr="007C4194">
        <w:t>meets the needs of residents and employers of Barnsley and immediate regional adjacencies</w:t>
      </w:r>
      <w:r w:rsidR="00CE7E76" w:rsidRPr="007C4194">
        <w:t>.</w:t>
      </w:r>
    </w:p>
    <w:p w14:paraId="344270FC" w14:textId="77777777" w:rsidR="00DE0D6A" w:rsidRPr="007C4194" w:rsidRDefault="00DE0D6A" w:rsidP="00AF2CC9">
      <w:pPr>
        <w:pStyle w:val="ListParagraph"/>
        <w:numPr>
          <w:ilvl w:val="0"/>
          <w:numId w:val="13"/>
        </w:numPr>
      </w:pPr>
      <w:r w:rsidRPr="007C4194">
        <w:t>As a result of a collaborative bid where Barnsley College has been named as the lead provider.</w:t>
      </w:r>
    </w:p>
    <w:p w14:paraId="73F53721" w14:textId="77777777" w:rsidR="00DE0D6A" w:rsidRDefault="00DE0D6A" w:rsidP="00AF2CC9">
      <w:pPr>
        <w:pStyle w:val="ListParagraph"/>
        <w:numPr>
          <w:ilvl w:val="0"/>
          <w:numId w:val="13"/>
        </w:numPr>
      </w:pPr>
      <w:r w:rsidRPr="007C4194">
        <w:t>Establishing Strategic Partnerships enabling growth opportunities.</w:t>
      </w:r>
    </w:p>
    <w:p w14:paraId="1B3EF94D" w14:textId="77777777" w:rsidR="00AC63E2" w:rsidRDefault="00AC63E2" w:rsidP="00FE296B">
      <w:pPr>
        <w:ind w:left="360"/>
      </w:pPr>
    </w:p>
    <w:p w14:paraId="1E85D815" w14:textId="7C30E12D" w:rsidR="00E57C7A" w:rsidRPr="000822F3" w:rsidRDefault="00E57C7A" w:rsidP="00E57C7A">
      <w:pPr>
        <w:rPr>
          <w:rFonts w:cs="Arial"/>
        </w:rPr>
      </w:pPr>
      <w:r w:rsidRPr="00180932">
        <w:rPr>
          <w:rFonts w:cs="Arial"/>
        </w:rPr>
        <w:t>Subcontracting will be reviewed and awarded annually</w:t>
      </w:r>
      <w:r w:rsidR="003F162F">
        <w:rPr>
          <w:rFonts w:cs="Arial"/>
        </w:rPr>
        <w:t>.</w:t>
      </w:r>
    </w:p>
    <w:p w14:paraId="4409DF38" w14:textId="77777777" w:rsidR="00E57C7A" w:rsidRPr="007C4194" w:rsidRDefault="00E57C7A" w:rsidP="00FE296B">
      <w:pPr>
        <w:ind w:left="360"/>
      </w:pPr>
    </w:p>
    <w:p w14:paraId="4E206F10" w14:textId="74CF6D05" w:rsidR="00FA7FA4" w:rsidRDefault="00FA7FA4" w:rsidP="00FA7FA4">
      <w:pPr>
        <w:pStyle w:val="Heading2"/>
      </w:pPr>
      <w:r w:rsidRPr="00FA7FA4">
        <w:t xml:space="preserve">Contract </w:t>
      </w:r>
      <w:r w:rsidR="00137497">
        <w:t>Award and Management</w:t>
      </w:r>
    </w:p>
    <w:p w14:paraId="7F888FDB" w14:textId="4FF8807B" w:rsidR="0017736D" w:rsidRPr="00974446" w:rsidRDefault="0017736D" w:rsidP="0017736D">
      <w:r w:rsidRPr="00E40BBF">
        <w:t xml:space="preserve">The College will only partner with subcontractors </w:t>
      </w:r>
      <w:r w:rsidR="00281078">
        <w:t>(</w:t>
      </w:r>
      <w:r w:rsidR="004F14A7">
        <w:t>“Partner</w:t>
      </w:r>
      <w:r w:rsidR="009A2795">
        <w:t>(</w:t>
      </w:r>
      <w:r w:rsidR="004F14A7">
        <w:t>s</w:t>
      </w:r>
      <w:r w:rsidR="009A2795">
        <w:t>)</w:t>
      </w:r>
      <w:r w:rsidR="004F14A7">
        <w:t xml:space="preserve">”) </w:t>
      </w:r>
      <w:r w:rsidRPr="00E40BBF">
        <w:t xml:space="preserve">who will work collaboratively to achieve </w:t>
      </w:r>
      <w:r w:rsidR="000F644D" w:rsidRPr="00E40BBF">
        <w:t xml:space="preserve">the Colleges </w:t>
      </w:r>
      <w:r w:rsidRPr="00E40BBF">
        <w:t xml:space="preserve">strategic goals. The College aims to build supportive and mutually rewarding relationships with its </w:t>
      </w:r>
      <w:r w:rsidR="004F14A7">
        <w:t>Partners</w:t>
      </w:r>
      <w:r w:rsidRPr="00E40BBF">
        <w:t>, built on trust and respect, for the benefit of local and regional employers and communities. The College recognises it is fully accountable for the delivery of any activity which it subcontracts.</w:t>
      </w:r>
    </w:p>
    <w:p w14:paraId="22117A43" w14:textId="77777777" w:rsidR="0017736D" w:rsidRDefault="0017736D" w:rsidP="00080A78">
      <w:pPr>
        <w:rPr>
          <w:rFonts w:cs="Arial"/>
        </w:rPr>
      </w:pPr>
    </w:p>
    <w:p w14:paraId="44DDC086" w14:textId="51934ECC" w:rsidR="00E40BBF" w:rsidRPr="00974446" w:rsidRDefault="00E40BBF" w:rsidP="00E40BBF">
      <w:r w:rsidRPr="00974446">
        <w:t xml:space="preserve">The level of subcontracted provision will be determined as part of the College’s annual business planning and the ongoing review throughout the year. This level may vary necessarily from year to year in the volume of partners, curriculum offer and the value of overall contracts in line with </w:t>
      </w:r>
    </w:p>
    <w:p w14:paraId="0A2FB4D1" w14:textId="77777777" w:rsidR="00E40BBF" w:rsidRDefault="00E40BBF" w:rsidP="00E40BBF">
      <w:r w:rsidRPr="00974446">
        <w:t xml:space="preserve">current </w:t>
      </w:r>
      <w:r>
        <w:t>DfE</w:t>
      </w:r>
      <w:r w:rsidRPr="00974446">
        <w:t xml:space="preserve"> guidance.</w:t>
      </w:r>
    </w:p>
    <w:p w14:paraId="453BC506" w14:textId="77777777" w:rsidR="00A45CCB" w:rsidRDefault="00A45CCB" w:rsidP="00E40BBF"/>
    <w:p w14:paraId="6F641013" w14:textId="06612C39" w:rsidR="00A45CCB" w:rsidRPr="00974446" w:rsidRDefault="00A45CCB" w:rsidP="00E40BBF">
      <w:r w:rsidRPr="00A45CCB">
        <w:t xml:space="preserve">Partnerships will be explored by the </w:t>
      </w:r>
      <w:r>
        <w:t>Executive Team</w:t>
      </w:r>
      <w:r w:rsidRPr="00A45CCB">
        <w:t>, where there is an identified benefit to the community or employers.</w:t>
      </w:r>
    </w:p>
    <w:p w14:paraId="72321014" w14:textId="77777777" w:rsidR="00E40BBF" w:rsidRDefault="00E40BBF" w:rsidP="00080A78">
      <w:pPr>
        <w:rPr>
          <w:rFonts w:cs="Arial"/>
        </w:rPr>
      </w:pPr>
    </w:p>
    <w:p w14:paraId="0C4131D9" w14:textId="1ECC2693" w:rsidR="00080A78" w:rsidRDefault="004742D6" w:rsidP="00080A78">
      <w:pPr>
        <w:rPr>
          <w:rFonts w:cs="Arial"/>
        </w:rPr>
      </w:pPr>
      <w:r w:rsidRPr="00974446">
        <w:rPr>
          <w:rFonts w:cs="Arial"/>
        </w:rPr>
        <w:t xml:space="preserve">Proposed </w:t>
      </w:r>
      <w:r w:rsidR="003918AA" w:rsidRPr="00974446">
        <w:rPr>
          <w:rFonts w:cs="Arial"/>
        </w:rPr>
        <w:t xml:space="preserve">contracts </w:t>
      </w:r>
      <w:r w:rsidRPr="00974446">
        <w:rPr>
          <w:rFonts w:cs="Arial"/>
        </w:rPr>
        <w:t xml:space="preserve">of </w:t>
      </w:r>
      <w:r w:rsidR="00B54E2E" w:rsidRPr="00974446">
        <w:rPr>
          <w:rFonts w:cs="Arial"/>
        </w:rPr>
        <w:t>s</w:t>
      </w:r>
      <w:r w:rsidRPr="00974446">
        <w:rPr>
          <w:rFonts w:cs="Arial"/>
        </w:rPr>
        <w:t>ubcontracting arrangements</w:t>
      </w:r>
      <w:r w:rsidR="00080A78" w:rsidRPr="00974446">
        <w:rPr>
          <w:rFonts w:cs="Arial"/>
        </w:rPr>
        <w:t xml:space="preserve"> will be presented to Governors for approval as part of the College’s budgeting cycle</w:t>
      </w:r>
      <w:r w:rsidR="0075737A" w:rsidRPr="00974446">
        <w:rPr>
          <w:rFonts w:cs="Arial"/>
        </w:rPr>
        <w:t xml:space="preserve"> before contracts are signed</w:t>
      </w:r>
      <w:r w:rsidR="00080A78" w:rsidRPr="00974446">
        <w:rPr>
          <w:rFonts w:cs="Arial"/>
        </w:rPr>
        <w:t>.</w:t>
      </w:r>
    </w:p>
    <w:p w14:paraId="61B585EB" w14:textId="77777777" w:rsidR="009B5FA5" w:rsidRDefault="009B5FA5" w:rsidP="00E03D3A"/>
    <w:p w14:paraId="0166C72A" w14:textId="2AAFB709" w:rsidR="009B5FA5" w:rsidRDefault="00E03D3A" w:rsidP="00E03D3A">
      <w:r w:rsidRPr="00E40BBF">
        <w:lastRenderedPageBreak/>
        <w:t xml:space="preserve">The College will </w:t>
      </w:r>
      <w:r w:rsidR="002D2705">
        <w:t xml:space="preserve">not </w:t>
      </w:r>
      <w:r w:rsidR="009B5FA5">
        <w:t>enter</w:t>
      </w:r>
      <w:r w:rsidR="002D2705">
        <w:t xml:space="preserve"> any subcontracting arrangements </w:t>
      </w:r>
      <w:r w:rsidR="00392866">
        <w:t xml:space="preserve">for the delivery of Advanced Learner Loans, this includes the </w:t>
      </w:r>
      <w:r w:rsidR="009B5FA5" w:rsidRPr="009B5FA5">
        <w:t>engage</w:t>
      </w:r>
      <w:r w:rsidR="009B5FA5">
        <w:t xml:space="preserve">ment of </w:t>
      </w:r>
      <w:r w:rsidR="009B5FA5" w:rsidRPr="009B5FA5">
        <w:t xml:space="preserve">a broker, or any third party, to recruit learners who are considering funding their provision with a loan, on </w:t>
      </w:r>
      <w:r w:rsidR="009B5FA5">
        <w:t>the College’s</w:t>
      </w:r>
      <w:r w:rsidR="009B5FA5" w:rsidRPr="009B5FA5">
        <w:t xml:space="preserve"> behalf.</w:t>
      </w:r>
    </w:p>
    <w:p w14:paraId="1DF1CB83" w14:textId="77777777" w:rsidR="00C7789F" w:rsidRDefault="00C7789F" w:rsidP="00E03D3A"/>
    <w:p w14:paraId="3F42E968" w14:textId="09A084F5" w:rsidR="00C7789F" w:rsidRDefault="00C7789F" w:rsidP="00E03D3A">
      <w:r>
        <w:t xml:space="preserve">The College will only use </w:t>
      </w:r>
      <w:r w:rsidR="00050E75">
        <w:t>brokers if it is determined to be in the best interests of the College</w:t>
      </w:r>
      <w:r w:rsidR="002E1F85">
        <w:t xml:space="preserve"> and</w:t>
      </w:r>
      <w:r w:rsidR="005E2DD1">
        <w:t xml:space="preserve"> learners and</w:t>
      </w:r>
      <w:r w:rsidR="002E1F85">
        <w:t xml:space="preserve"> is permitted within the relevant funding rules.</w:t>
      </w:r>
      <w:r w:rsidR="005E2DD1">
        <w:t xml:space="preserve"> </w:t>
      </w:r>
      <w:r w:rsidR="006C2F8D">
        <w:t>If a broker is to be used, then approv</w:t>
      </w:r>
      <w:r w:rsidR="0070593D">
        <w:t xml:space="preserve">al </w:t>
      </w:r>
      <w:r w:rsidR="006C2F8D">
        <w:t xml:space="preserve">by </w:t>
      </w:r>
      <w:r w:rsidR="00AB6B03">
        <w:t xml:space="preserve">the </w:t>
      </w:r>
      <w:r w:rsidR="006C2F8D">
        <w:t>Executive Team</w:t>
      </w:r>
      <w:r w:rsidR="002E1F85">
        <w:t xml:space="preserve"> </w:t>
      </w:r>
      <w:r w:rsidR="0070593D">
        <w:t>is required before any recruitment activities can be started.</w:t>
      </w:r>
    </w:p>
    <w:p w14:paraId="34D9948F" w14:textId="77777777" w:rsidR="009B5FA5" w:rsidRDefault="009B5FA5" w:rsidP="00E03D3A"/>
    <w:p w14:paraId="56CD0CC4" w14:textId="01517FEC" w:rsidR="00AF2CC9" w:rsidRPr="005B7F9C" w:rsidRDefault="00AF2CC9" w:rsidP="005B7F9C">
      <w:pPr>
        <w:pStyle w:val="Heading2"/>
      </w:pPr>
      <w:r w:rsidRPr="005B7F9C">
        <w:t xml:space="preserve">Quality </w:t>
      </w:r>
      <w:r w:rsidR="009D4C83" w:rsidRPr="005B7F9C">
        <w:t>Monitoring and Compliance</w:t>
      </w:r>
    </w:p>
    <w:p w14:paraId="20409E85" w14:textId="77777777" w:rsidR="005B7F9C" w:rsidRPr="00D13374" w:rsidRDefault="005B7F9C" w:rsidP="005B7F9C">
      <w:r w:rsidRPr="00D13374">
        <w:t xml:space="preserve">Subcontracted activity is an important part of the College’s provision. The quality of the provision will be monitored and managed through </w:t>
      </w:r>
      <w:r>
        <w:t xml:space="preserve">relevant departments </w:t>
      </w:r>
      <w:r w:rsidRPr="00D13374">
        <w:t>existing</w:t>
      </w:r>
      <w:r>
        <w:t xml:space="preserve"> compliance, a</w:t>
      </w:r>
      <w:r w:rsidRPr="00D13374">
        <w:t xml:space="preserve">ssurance </w:t>
      </w:r>
      <w:r>
        <w:t xml:space="preserve">and monitoring </w:t>
      </w:r>
      <w:r w:rsidRPr="00D13374">
        <w:t xml:space="preserve">processes </w:t>
      </w:r>
      <w:r>
        <w:t xml:space="preserve">to </w:t>
      </w:r>
      <w:r w:rsidRPr="00D13374">
        <w:t xml:space="preserve">fully encompass all subcontracted activity. </w:t>
      </w:r>
    </w:p>
    <w:p w14:paraId="6A0E19D9" w14:textId="77777777" w:rsidR="005B7F9C" w:rsidRPr="00D13374" w:rsidRDefault="005B7F9C" w:rsidP="005B7F9C"/>
    <w:p w14:paraId="3A028940" w14:textId="0AE2D9F7" w:rsidR="005B7F9C" w:rsidRPr="00D13374" w:rsidRDefault="005B7F9C" w:rsidP="005B7F9C">
      <w:r w:rsidRPr="00D13374">
        <w:t xml:space="preserve">This </w:t>
      </w:r>
      <w:r>
        <w:t>p</w:t>
      </w:r>
      <w:r w:rsidRPr="00D13374">
        <w:t xml:space="preserve">olicy positions subcontracted provision as a core part of </w:t>
      </w:r>
      <w:r>
        <w:t xml:space="preserve">the </w:t>
      </w:r>
      <w:r w:rsidRPr="00D13374">
        <w:t>College</w:t>
      </w:r>
      <w:r>
        <w:t>’s</w:t>
      </w:r>
      <w:r w:rsidRPr="00D13374">
        <w:t xml:space="preserve"> activity to enable continuous improvements in the quality of teaching and learning for both the college and its subcontractors. This will be achieved through the sharing of effective practice </w:t>
      </w:r>
      <w:r w:rsidR="00980EED">
        <w:t>and support</w:t>
      </w:r>
      <w:r w:rsidR="00B04F4F">
        <w:t>ing</w:t>
      </w:r>
      <w:r w:rsidR="00980EED">
        <w:t xml:space="preserve"> subcontractors </w:t>
      </w:r>
      <w:r w:rsidR="00B04F4F">
        <w:t xml:space="preserve">in their </w:t>
      </w:r>
      <w:r w:rsidR="00980EED">
        <w:t>develop</w:t>
      </w:r>
      <w:r w:rsidR="00B04F4F">
        <w:t>ment</w:t>
      </w:r>
      <w:r w:rsidRPr="00D13374">
        <w:t xml:space="preserve">. </w:t>
      </w:r>
    </w:p>
    <w:p w14:paraId="0E5839EA" w14:textId="77777777" w:rsidR="005B7F9C" w:rsidRPr="00D13374" w:rsidRDefault="005B7F9C" w:rsidP="005B7F9C"/>
    <w:p w14:paraId="69B27B6E" w14:textId="01B850AB" w:rsidR="005B7F9C" w:rsidRPr="00D13374" w:rsidRDefault="005B7F9C" w:rsidP="005B7F9C">
      <w:r w:rsidRPr="00D13374">
        <w:t xml:space="preserve">Subcontracted provision will only be supported with organisations which can demonstrate the actual achievement of, or the potential to rapidly achieve, </w:t>
      </w:r>
      <w:r w:rsidRPr="005B7F9C">
        <w:t>good</w:t>
      </w:r>
      <w:r w:rsidRPr="00D13374">
        <w:t xml:space="preserve"> quality teaching and learning and </w:t>
      </w:r>
      <w:r>
        <w:t xml:space="preserve">performance (Retention, Achievement and Pass) </w:t>
      </w:r>
      <w:r w:rsidRPr="00D13374">
        <w:t xml:space="preserve">rates which achieve </w:t>
      </w:r>
      <w:r>
        <w:t xml:space="preserve">at or above </w:t>
      </w:r>
      <w:r w:rsidRPr="00D13374">
        <w:t>national averages.</w:t>
      </w:r>
    </w:p>
    <w:p w14:paraId="7F36185A" w14:textId="77777777" w:rsidR="005B7F9C" w:rsidRPr="00D13374" w:rsidRDefault="005B7F9C" w:rsidP="005B7F9C"/>
    <w:p w14:paraId="59513C64" w14:textId="77777777" w:rsidR="005B7F9C" w:rsidRPr="00D13374" w:rsidRDefault="005B7F9C" w:rsidP="005B7F9C">
      <w:r w:rsidRPr="00D13374">
        <w:t>The College ensures that its subcontractors are included in the College’s quality systems and are audited and supported by the College to follow this process. Practices follow a planned quality assurance calendar in which actions include spot checks, register compliance, learner voice, lesson observations, and feedback. Regular contract meetings review progress, and monitoring activities, and a current Quality Improvement Plan (QIP) is held and reviewed.  The contract will highlight clear guidance on actions to take when quality concerns are raised, and mitigation when internal and external changes may impact upon delivery and outcomes.</w:t>
      </w:r>
    </w:p>
    <w:p w14:paraId="1C86A05F" w14:textId="77777777" w:rsidR="005B7F9C" w:rsidRPr="00D13374" w:rsidRDefault="005B7F9C" w:rsidP="005B7F9C"/>
    <w:p w14:paraId="73C32065" w14:textId="77777777" w:rsidR="005B7F9C" w:rsidRPr="00D13374" w:rsidRDefault="005B7F9C" w:rsidP="005B7F9C">
      <w:r w:rsidRPr="00D13374">
        <w:t xml:space="preserve">The College supports subcontractors to </w:t>
      </w:r>
      <w:r>
        <w:t xml:space="preserve">take part in the </w:t>
      </w:r>
      <w:r w:rsidRPr="00D13374">
        <w:t>self-assessment process, including quality improvement plans. It also offers support as required to share good practice through regular quality reviews, observation of teaching, learning and assessment, and learner and employer feedback.</w:t>
      </w:r>
    </w:p>
    <w:p w14:paraId="1FBEB243" w14:textId="77777777" w:rsidR="005B7F9C" w:rsidRPr="00D13374" w:rsidRDefault="005B7F9C" w:rsidP="005B7F9C"/>
    <w:p w14:paraId="7965F90E" w14:textId="4F35DC65" w:rsidR="00AF2CC9" w:rsidRDefault="005B7F9C" w:rsidP="00AF2CC9">
      <w:r w:rsidRPr="00D13374">
        <w:t xml:space="preserve">Subcontractors will collect, retain and submit to the College on request all relevant documents and evidence of learner activity. This will be in line with </w:t>
      </w:r>
      <w:r w:rsidR="005C0030" w:rsidRPr="000822F3">
        <w:t>the Data Protection Act 2018 and the UK GDPR</w:t>
      </w:r>
      <w:r w:rsidRPr="00D13374">
        <w:t>.</w:t>
      </w:r>
    </w:p>
    <w:p w14:paraId="0E6EBBCA" w14:textId="77777777" w:rsidR="00AF2CC9" w:rsidRPr="00974446" w:rsidRDefault="00AF2CC9" w:rsidP="00D304F0"/>
    <w:p w14:paraId="7E29B693" w14:textId="5C06D0F0" w:rsidR="00645E63" w:rsidRDefault="00645E63" w:rsidP="00645E63">
      <w:pPr>
        <w:pStyle w:val="Heading2"/>
      </w:pPr>
      <w:r>
        <w:t xml:space="preserve">Due </w:t>
      </w:r>
      <w:r w:rsidR="00260D51">
        <w:t>Diligence</w:t>
      </w:r>
    </w:p>
    <w:p w14:paraId="76713694" w14:textId="3E8791DC" w:rsidR="000C5DF3" w:rsidRDefault="006C0CAF" w:rsidP="00C508B6">
      <w:pPr>
        <w:rPr>
          <w:rFonts w:cs="Arial"/>
        </w:rPr>
      </w:pPr>
      <w:r>
        <w:rPr>
          <w:rFonts w:cs="Arial"/>
        </w:rPr>
        <w:t xml:space="preserve">The College undertakes robust </w:t>
      </w:r>
      <w:r w:rsidR="000C5DF3">
        <w:rPr>
          <w:rFonts w:cs="Arial"/>
        </w:rPr>
        <w:t xml:space="preserve">due diligence </w:t>
      </w:r>
      <w:r w:rsidR="00B04F4F" w:rsidRPr="00D81FD1">
        <w:t>to support new and renewing contracts</w:t>
      </w:r>
      <w:r w:rsidR="00B04F4F" w:rsidRPr="00D81FD1">
        <w:rPr>
          <w:rFonts w:cs="Arial"/>
        </w:rPr>
        <w:t xml:space="preserve"> </w:t>
      </w:r>
      <w:r w:rsidR="00C508B6" w:rsidRPr="00D81FD1">
        <w:rPr>
          <w:rFonts w:cs="Arial"/>
        </w:rPr>
        <w:t>w</w:t>
      </w:r>
      <w:r w:rsidR="00C508B6" w:rsidRPr="00C508B6">
        <w:rPr>
          <w:rFonts w:cs="Arial"/>
        </w:rPr>
        <w:t>hich includes a financial health assessment, safeguarding assessment, health and safety assessment, and an assessment of</w:t>
      </w:r>
      <w:r w:rsidR="00C508B6">
        <w:rPr>
          <w:rFonts w:cs="Arial"/>
        </w:rPr>
        <w:t xml:space="preserve"> </w:t>
      </w:r>
      <w:r w:rsidR="00C508B6" w:rsidRPr="00C508B6">
        <w:rPr>
          <w:rFonts w:cs="Arial"/>
        </w:rPr>
        <w:t xml:space="preserve">quality of provision. </w:t>
      </w:r>
      <w:r w:rsidR="002915FC">
        <w:rPr>
          <w:rFonts w:cs="Arial"/>
        </w:rPr>
        <w:t xml:space="preserve">The </w:t>
      </w:r>
      <w:r w:rsidR="00291B9E" w:rsidRPr="000822F3">
        <w:rPr>
          <w:rFonts w:cs="Arial"/>
        </w:rPr>
        <w:t xml:space="preserve">College </w:t>
      </w:r>
      <w:r w:rsidR="002915FC">
        <w:rPr>
          <w:rFonts w:cs="Arial"/>
        </w:rPr>
        <w:t xml:space="preserve">also undertakes a </w:t>
      </w:r>
      <w:r w:rsidR="00291B9E" w:rsidRPr="000822F3">
        <w:rPr>
          <w:rFonts w:cs="Arial"/>
        </w:rPr>
        <w:t xml:space="preserve">review </w:t>
      </w:r>
      <w:r w:rsidR="002915FC">
        <w:rPr>
          <w:rFonts w:cs="Arial"/>
        </w:rPr>
        <w:t xml:space="preserve">of relevant </w:t>
      </w:r>
      <w:r w:rsidR="00291B9E" w:rsidRPr="000822F3">
        <w:rPr>
          <w:rFonts w:cs="Arial"/>
        </w:rPr>
        <w:t>policies and procedures, delivery, quality, and performance</w:t>
      </w:r>
      <w:r w:rsidR="00323892">
        <w:rPr>
          <w:rFonts w:cs="Arial"/>
        </w:rPr>
        <w:t xml:space="preserve">. </w:t>
      </w:r>
      <w:r w:rsidR="00C508B6" w:rsidRPr="00C508B6">
        <w:rPr>
          <w:rFonts w:cs="Arial"/>
        </w:rPr>
        <w:t xml:space="preserve">This is to mitigate the risk to </w:t>
      </w:r>
      <w:r w:rsidR="00C508B6">
        <w:rPr>
          <w:rFonts w:cs="Arial"/>
        </w:rPr>
        <w:t>t</w:t>
      </w:r>
      <w:r w:rsidR="00C508B6" w:rsidRPr="00C508B6">
        <w:rPr>
          <w:rFonts w:cs="Arial"/>
        </w:rPr>
        <w:t>he College and the contracts they may potentially let.</w:t>
      </w:r>
    </w:p>
    <w:p w14:paraId="0A693D4D" w14:textId="77777777" w:rsidR="000C5DF3" w:rsidRDefault="000C5DF3" w:rsidP="006C0CAF">
      <w:pPr>
        <w:rPr>
          <w:rFonts w:cs="Arial"/>
        </w:rPr>
      </w:pPr>
    </w:p>
    <w:p w14:paraId="0FF4FAB8" w14:textId="6C23780F" w:rsidR="006C0CAF" w:rsidRPr="000822F3" w:rsidRDefault="006C0CAF" w:rsidP="003D5103">
      <w:pPr>
        <w:rPr>
          <w:rFonts w:cs="Arial"/>
        </w:rPr>
      </w:pPr>
      <w:r w:rsidRPr="000822F3">
        <w:rPr>
          <w:rFonts w:cs="Arial"/>
        </w:rPr>
        <w:t>The College will only award contracts for delivering funded provision to legal entities.  If the legal entity is a registered company, it must be recorded as ‘Active’ on the Companies House database.</w:t>
      </w:r>
      <w:r w:rsidR="003D5103">
        <w:rPr>
          <w:rFonts w:cs="Arial"/>
        </w:rPr>
        <w:t xml:space="preserve"> </w:t>
      </w:r>
      <w:r w:rsidR="003D5103" w:rsidRPr="003D5103">
        <w:rPr>
          <w:rFonts w:cs="Arial"/>
        </w:rPr>
        <w:t>The College will not subcontract with brand new companies who are yet to submit their first</w:t>
      </w:r>
      <w:r w:rsidR="003D5103">
        <w:rPr>
          <w:rFonts w:cs="Arial"/>
        </w:rPr>
        <w:t xml:space="preserve"> s</w:t>
      </w:r>
      <w:r w:rsidR="003D5103" w:rsidRPr="003D5103">
        <w:rPr>
          <w:rFonts w:cs="Arial"/>
        </w:rPr>
        <w:t>tatutory accounts, unless we are able to thoroughly verify the new company’s financial capability.</w:t>
      </w:r>
    </w:p>
    <w:p w14:paraId="444317CC" w14:textId="77777777" w:rsidR="006C0CAF" w:rsidRPr="000822F3" w:rsidRDefault="006C0CAF" w:rsidP="006C0CAF">
      <w:pPr>
        <w:rPr>
          <w:rFonts w:cs="Arial"/>
        </w:rPr>
      </w:pPr>
    </w:p>
    <w:p w14:paraId="5CF4B45D" w14:textId="326BA09A" w:rsidR="006C0CAF" w:rsidRPr="007C4194" w:rsidRDefault="006C0CAF" w:rsidP="007C4194">
      <w:r w:rsidRPr="007C4194">
        <w:lastRenderedPageBreak/>
        <w:t>The College will not award a contract to a</w:t>
      </w:r>
      <w:r w:rsidR="003E2A17" w:rsidRPr="007C4194">
        <w:t xml:space="preserve">ny organisation </w:t>
      </w:r>
      <w:r w:rsidRPr="007C4194">
        <w:t>if:</w:t>
      </w:r>
    </w:p>
    <w:p w14:paraId="32B84A06" w14:textId="12DB0619" w:rsidR="006C0CAF" w:rsidRPr="007C4194" w:rsidRDefault="006C0CAF" w:rsidP="00AF2CC9">
      <w:pPr>
        <w:pStyle w:val="ListParagraph"/>
        <w:numPr>
          <w:ilvl w:val="0"/>
          <w:numId w:val="14"/>
        </w:numPr>
      </w:pPr>
      <w:r w:rsidRPr="007C4194">
        <w:t>It has an above average risk warning from a credit agency</w:t>
      </w:r>
      <w:r w:rsidR="00FE1569">
        <w:t>.</w:t>
      </w:r>
    </w:p>
    <w:p w14:paraId="62FC93C8" w14:textId="7785A760" w:rsidR="006C0CAF" w:rsidRPr="007C4194" w:rsidRDefault="006C0CAF" w:rsidP="00AF2CC9">
      <w:pPr>
        <w:pStyle w:val="ListParagraph"/>
        <w:numPr>
          <w:ilvl w:val="0"/>
          <w:numId w:val="14"/>
        </w:numPr>
      </w:pPr>
      <w:r w:rsidRPr="007C4194">
        <w:t>It has passed a resolution (or the court has made an order) to wind up or liquidate the company, or administrators have been appointed</w:t>
      </w:r>
      <w:r w:rsidR="00FE1569">
        <w:t>.</w:t>
      </w:r>
    </w:p>
    <w:p w14:paraId="0EBE4410" w14:textId="5D72F3DA" w:rsidR="006C0CAF" w:rsidRPr="007C4194" w:rsidRDefault="006C0CAF" w:rsidP="00AF2CC9">
      <w:pPr>
        <w:pStyle w:val="ListParagraph"/>
        <w:numPr>
          <w:ilvl w:val="0"/>
          <w:numId w:val="14"/>
        </w:numPr>
      </w:pPr>
      <w:r w:rsidRPr="007C4194">
        <w:t>Its statutory accounts are overdue</w:t>
      </w:r>
      <w:r w:rsidR="00FE1569">
        <w:t>.</w:t>
      </w:r>
    </w:p>
    <w:p w14:paraId="49FD6228" w14:textId="77777777" w:rsidR="007C4194" w:rsidRDefault="007C4194" w:rsidP="00B244EB"/>
    <w:p w14:paraId="371766A7" w14:textId="40E04A71" w:rsidR="00B244EB" w:rsidRDefault="00203FB1" w:rsidP="00B244EB">
      <w:r w:rsidRPr="00203FB1">
        <w:t xml:space="preserve">Further investigations of any </w:t>
      </w:r>
      <w:r w:rsidR="002E2E7B">
        <w:t>Partner</w:t>
      </w:r>
      <w:r w:rsidRPr="00203FB1">
        <w:t xml:space="preserve"> will be undertaken if any of the following is identified via monitoring or any other means:</w:t>
      </w:r>
    </w:p>
    <w:p w14:paraId="38ED6BC9" w14:textId="1E01D447" w:rsidR="00B244EB" w:rsidRDefault="00203FB1" w:rsidP="00AF2CC9">
      <w:pPr>
        <w:pStyle w:val="ListParagraph"/>
        <w:numPr>
          <w:ilvl w:val="0"/>
          <w:numId w:val="15"/>
        </w:numPr>
      </w:pPr>
      <w:r w:rsidRPr="00203FB1">
        <w:t>Ofsted has awarded the provider a Grade 3 or 4</w:t>
      </w:r>
      <w:r w:rsidR="00FE1569">
        <w:t>.</w:t>
      </w:r>
    </w:p>
    <w:p w14:paraId="49D4E109" w14:textId="188838DA" w:rsidR="004A23AF" w:rsidRDefault="004A23AF" w:rsidP="00AF2CC9">
      <w:pPr>
        <w:pStyle w:val="ListParagraph"/>
        <w:numPr>
          <w:ilvl w:val="0"/>
          <w:numId w:val="15"/>
        </w:numPr>
      </w:pPr>
      <w:r w:rsidRPr="00BC6F2A">
        <w:t xml:space="preserve">The </w:t>
      </w:r>
      <w:r w:rsidR="009614FA">
        <w:t>Partner</w:t>
      </w:r>
      <w:r w:rsidRPr="00BC6F2A">
        <w:t xml:space="preserve"> is inadvertently funding extremist or terrorist related organisations as directed under the Prevent statutory guidance</w:t>
      </w:r>
      <w:r w:rsidR="00FE1569">
        <w:t>.</w:t>
      </w:r>
    </w:p>
    <w:p w14:paraId="2934D9EC" w14:textId="0E433325" w:rsidR="00203FB1" w:rsidRPr="00203FB1" w:rsidRDefault="00203FB1" w:rsidP="00AF2CC9">
      <w:pPr>
        <w:pStyle w:val="ListParagraph"/>
        <w:numPr>
          <w:ilvl w:val="0"/>
          <w:numId w:val="15"/>
        </w:numPr>
      </w:pPr>
      <w:r w:rsidRPr="00203FB1">
        <w:t xml:space="preserve">Sanctions are placed on any </w:t>
      </w:r>
      <w:r w:rsidR="009614FA">
        <w:t>Partner</w:t>
      </w:r>
      <w:r w:rsidRPr="00203FB1">
        <w:t xml:space="preserve"> by the awarding organisation</w:t>
      </w:r>
      <w:r w:rsidR="00FE1569">
        <w:t>.</w:t>
      </w:r>
    </w:p>
    <w:p w14:paraId="64936DFA" w14:textId="55D2B614" w:rsidR="00203FB1" w:rsidRDefault="00203FB1" w:rsidP="00AF2CC9">
      <w:pPr>
        <w:pStyle w:val="ListParagraph"/>
        <w:numPr>
          <w:ilvl w:val="0"/>
          <w:numId w:val="15"/>
        </w:numPr>
      </w:pPr>
      <w:r w:rsidRPr="00203FB1">
        <w:t>Non-delivery of training</w:t>
      </w:r>
      <w:r w:rsidR="00FE1569">
        <w:t>.</w:t>
      </w:r>
    </w:p>
    <w:p w14:paraId="3CE724FE" w14:textId="0FA00BA4" w:rsidR="0041599E" w:rsidRPr="00203FB1" w:rsidRDefault="0041599E" w:rsidP="00AF2CC9">
      <w:pPr>
        <w:pStyle w:val="ListParagraph"/>
        <w:numPr>
          <w:ilvl w:val="0"/>
          <w:numId w:val="15"/>
        </w:numPr>
      </w:pPr>
      <w:r w:rsidRPr="000822F3">
        <w:t>Does not appear on UKRLP</w:t>
      </w:r>
      <w:r w:rsidR="00FE1569">
        <w:t>.</w:t>
      </w:r>
    </w:p>
    <w:p w14:paraId="18023900" w14:textId="09EB4C0D" w:rsidR="00203FB1" w:rsidRPr="00203FB1" w:rsidRDefault="00203FB1" w:rsidP="00AF2CC9">
      <w:pPr>
        <w:pStyle w:val="ListParagraph"/>
        <w:numPr>
          <w:ilvl w:val="0"/>
          <w:numId w:val="15"/>
        </w:numPr>
      </w:pPr>
      <w:r w:rsidRPr="00203FB1">
        <w:t>Failure to meet the performance criteria detailed within the contract</w:t>
      </w:r>
      <w:r w:rsidR="00FE1569">
        <w:t>.</w:t>
      </w:r>
    </w:p>
    <w:p w14:paraId="6356C2C6" w14:textId="28516122" w:rsidR="00203FB1" w:rsidRDefault="00203FB1" w:rsidP="00203FB1">
      <w:pPr>
        <w:pStyle w:val="BulletList1"/>
        <w:numPr>
          <w:ilvl w:val="0"/>
          <w:numId w:val="0"/>
        </w:numPr>
      </w:pPr>
      <w:r>
        <w:t>Ongoing non-compliance would trigger the penalty clauses included in the contract which could ultimately mean termination of the contract.</w:t>
      </w:r>
    </w:p>
    <w:p w14:paraId="00B0AD6B" w14:textId="77281435" w:rsidR="00080A78" w:rsidRPr="00974446" w:rsidRDefault="00080A78" w:rsidP="00080A78">
      <w:pPr>
        <w:rPr>
          <w:rFonts w:cs="Arial"/>
        </w:rPr>
      </w:pPr>
      <w:r w:rsidRPr="00974446">
        <w:rPr>
          <w:rFonts w:cs="Arial"/>
        </w:rPr>
        <w:t xml:space="preserve">The College will communicate the following to its </w:t>
      </w:r>
      <w:r w:rsidR="009614FA">
        <w:rPr>
          <w:rFonts w:cs="Arial"/>
        </w:rPr>
        <w:t>Partners</w:t>
      </w:r>
      <w:r w:rsidRPr="00974446">
        <w:rPr>
          <w:rFonts w:cs="Arial"/>
        </w:rPr>
        <w:t xml:space="preserve"> ahead of contract signing:</w:t>
      </w:r>
    </w:p>
    <w:p w14:paraId="14F99C3E" w14:textId="0D9B6FA7" w:rsidR="00080A78" w:rsidRPr="00974446" w:rsidRDefault="00080A78" w:rsidP="00AF2CC9">
      <w:pPr>
        <w:pStyle w:val="ListParagraph"/>
        <w:numPr>
          <w:ilvl w:val="0"/>
          <w:numId w:val="10"/>
        </w:numPr>
        <w:rPr>
          <w:rFonts w:cs="Arial"/>
        </w:rPr>
      </w:pPr>
      <w:r w:rsidRPr="00622DD0">
        <w:rPr>
          <w:rFonts w:cs="Arial"/>
        </w:rPr>
        <w:t>The reason</w:t>
      </w:r>
      <w:r w:rsidRPr="00974446">
        <w:rPr>
          <w:rFonts w:cs="Arial"/>
        </w:rPr>
        <w:t xml:space="preserve"> for subcontracting</w:t>
      </w:r>
      <w:r w:rsidR="00FE1569">
        <w:rPr>
          <w:rFonts w:cs="Arial"/>
        </w:rPr>
        <w:t>.</w:t>
      </w:r>
    </w:p>
    <w:p w14:paraId="46EBBD1B" w14:textId="4115A96A" w:rsidR="00080A78" w:rsidRPr="00974446" w:rsidRDefault="00080A78" w:rsidP="00AF2CC9">
      <w:pPr>
        <w:pStyle w:val="ListParagraph"/>
        <w:numPr>
          <w:ilvl w:val="0"/>
          <w:numId w:val="10"/>
        </w:numPr>
        <w:rPr>
          <w:rFonts w:cs="Arial"/>
        </w:rPr>
      </w:pPr>
      <w:r w:rsidRPr="00974446">
        <w:rPr>
          <w:rFonts w:cs="Arial"/>
        </w:rPr>
        <w:t xml:space="preserve">The services that the College will provide and the associated costs when doing so, including a list of specific costs for managing the </w:t>
      </w:r>
      <w:r w:rsidR="00D2380A">
        <w:rPr>
          <w:rFonts w:cs="Arial"/>
        </w:rPr>
        <w:t>subcontractor</w:t>
      </w:r>
      <w:r w:rsidRPr="00974446">
        <w:rPr>
          <w:rFonts w:cs="Arial"/>
        </w:rPr>
        <w:t xml:space="preserve">, specific costs for quality monitoring activities and specific costs for any other support activities </w:t>
      </w:r>
      <w:r w:rsidRPr="00622DD0">
        <w:rPr>
          <w:rFonts w:cs="Arial"/>
        </w:rPr>
        <w:t xml:space="preserve">offered by </w:t>
      </w:r>
      <w:r w:rsidR="00622DD0" w:rsidRPr="00622DD0">
        <w:rPr>
          <w:rFonts w:cs="Arial"/>
        </w:rPr>
        <w:t>the College</w:t>
      </w:r>
      <w:r w:rsidR="00FE1569">
        <w:rPr>
          <w:rFonts w:cs="Arial"/>
        </w:rPr>
        <w:t>.</w:t>
      </w:r>
    </w:p>
    <w:p w14:paraId="5CC29E32" w14:textId="6E0AA47E" w:rsidR="00080A78" w:rsidRPr="00974446" w:rsidRDefault="002F685F" w:rsidP="00AF2CC9">
      <w:pPr>
        <w:pStyle w:val="ListParagraph"/>
        <w:numPr>
          <w:ilvl w:val="0"/>
          <w:numId w:val="10"/>
        </w:numPr>
        <w:rPr>
          <w:rFonts w:cs="Arial"/>
        </w:rPr>
      </w:pPr>
      <w:r>
        <w:rPr>
          <w:rFonts w:cs="Arial"/>
        </w:rPr>
        <w:t>H</w:t>
      </w:r>
      <w:r w:rsidR="00080A78" w:rsidRPr="00974446">
        <w:rPr>
          <w:rFonts w:cs="Arial"/>
        </w:rPr>
        <w:t>ow each cost is reasonable and proportionate to delivery of the subcontracted teaching or learning and how each cost contributes to delivering high quality learning.</w:t>
      </w:r>
    </w:p>
    <w:p w14:paraId="59C4C256" w14:textId="77777777" w:rsidR="00080A78" w:rsidRPr="00974446" w:rsidRDefault="00080A78" w:rsidP="00080A78">
      <w:pPr>
        <w:rPr>
          <w:rFonts w:cs="Arial"/>
        </w:rPr>
      </w:pPr>
    </w:p>
    <w:p w14:paraId="23B926EB" w14:textId="50E0A13C" w:rsidR="00FA7FA4" w:rsidRDefault="00080A78" w:rsidP="00080A78">
      <w:pPr>
        <w:rPr>
          <w:rFonts w:cs="Arial"/>
        </w:rPr>
      </w:pPr>
      <w:r w:rsidRPr="00974446">
        <w:rPr>
          <w:rFonts w:cs="Arial"/>
        </w:rPr>
        <w:t xml:space="preserve">All proposals for “whole programme subcontracting” for 16-18 funding, as defined by the </w:t>
      </w:r>
      <w:r w:rsidR="008E6F47">
        <w:rPr>
          <w:rFonts w:cs="Arial"/>
        </w:rPr>
        <w:t>DfE</w:t>
      </w:r>
      <w:r w:rsidR="00F42976">
        <w:rPr>
          <w:rFonts w:cs="Arial"/>
        </w:rPr>
        <w:t xml:space="preserve"> </w:t>
      </w:r>
      <w:r w:rsidRPr="00974446">
        <w:rPr>
          <w:rFonts w:cs="Arial"/>
        </w:rPr>
        <w:t xml:space="preserve">funding rules will be sent to the </w:t>
      </w:r>
      <w:r w:rsidR="008E6F47">
        <w:rPr>
          <w:rFonts w:cs="Arial"/>
        </w:rPr>
        <w:t>DfE</w:t>
      </w:r>
      <w:r w:rsidRPr="00974446">
        <w:rPr>
          <w:rFonts w:cs="Arial"/>
        </w:rPr>
        <w:t xml:space="preserve"> for approval prior to the contract commencing. New contracting relationships that meet these criteria will be submitted to the </w:t>
      </w:r>
      <w:r w:rsidR="008E6F47">
        <w:rPr>
          <w:rFonts w:cs="Arial"/>
        </w:rPr>
        <w:t>DfE</w:t>
      </w:r>
      <w:r w:rsidRPr="00974446">
        <w:rPr>
          <w:rFonts w:cs="Arial"/>
        </w:rPr>
        <w:t xml:space="preserve"> within at least 12 weeks of the commencement of the contract.</w:t>
      </w:r>
    </w:p>
    <w:p w14:paraId="7AB8520B" w14:textId="77777777" w:rsidR="00080A78" w:rsidRDefault="00080A78" w:rsidP="00080A78">
      <w:pPr>
        <w:rPr>
          <w:rFonts w:cs="Arial"/>
        </w:rPr>
      </w:pPr>
    </w:p>
    <w:p w14:paraId="7F8329C7" w14:textId="0FB24960" w:rsidR="00443BBF" w:rsidRDefault="00DA13CB" w:rsidP="00BC47DD">
      <w:pPr>
        <w:rPr>
          <w:rFonts w:cs="Arial"/>
        </w:rPr>
      </w:pPr>
      <w:r>
        <w:rPr>
          <w:rFonts w:cs="Arial"/>
        </w:rPr>
        <w:t>The College</w:t>
      </w:r>
      <w:r w:rsidR="00DE0D6A" w:rsidRPr="000822F3">
        <w:rPr>
          <w:rFonts w:cs="Arial"/>
        </w:rPr>
        <w:t xml:space="preserve"> will not subcontract provision outside of</w:t>
      </w:r>
      <w:r w:rsidR="00F57C46" w:rsidRPr="000822F3">
        <w:rPr>
          <w:rFonts w:cs="Arial"/>
        </w:rPr>
        <w:t xml:space="preserve"> </w:t>
      </w:r>
      <w:r w:rsidR="00045D04">
        <w:rPr>
          <w:rFonts w:cs="Arial"/>
        </w:rPr>
        <w:t>its geographical r</w:t>
      </w:r>
      <w:r w:rsidR="00F57C46" w:rsidRPr="000822F3">
        <w:rPr>
          <w:rFonts w:cs="Arial"/>
        </w:rPr>
        <w:t>egion</w:t>
      </w:r>
      <w:r w:rsidR="00DE0D6A" w:rsidRPr="000822F3">
        <w:rPr>
          <w:rFonts w:cs="Arial"/>
        </w:rPr>
        <w:t xml:space="preserve"> unless requested to do so under the terms of a national contract.</w:t>
      </w:r>
    </w:p>
    <w:p w14:paraId="628BA393" w14:textId="77777777" w:rsidR="00BC47DD" w:rsidRPr="00BC47DD" w:rsidRDefault="00BC47DD" w:rsidP="00BC47DD">
      <w:pPr>
        <w:rPr>
          <w:rFonts w:cs="Arial"/>
        </w:rPr>
      </w:pPr>
    </w:p>
    <w:p w14:paraId="6F92976C" w14:textId="4B30A292" w:rsidR="00FB4901" w:rsidRPr="000822F3" w:rsidRDefault="00FB4901" w:rsidP="00FB4901">
      <w:pPr>
        <w:pStyle w:val="Heading2"/>
      </w:pPr>
      <w:r w:rsidRPr="000822F3">
        <w:t>Subcontracting</w:t>
      </w:r>
      <w:r w:rsidR="00AF4188">
        <w:t xml:space="preserve"> Standard</w:t>
      </w:r>
    </w:p>
    <w:p w14:paraId="45F79FDA" w14:textId="7660327D" w:rsidR="00FB4901" w:rsidRPr="000822F3" w:rsidRDefault="00FB4901" w:rsidP="00FB4901">
      <w:r w:rsidRPr="001371B8">
        <w:t xml:space="preserve">The </w:t>
      </w:r>
      <w:r w:rsidR="00776E2B">
        <w:t>DfE s</w:t>
      </w:r>
      <w:r w:rsidRPr="001371B8">
        <w:t xml:space="preserve">ubcontracting </w:t>
      </w:r>
      <w:r w:rsidR="0019602A">
        <w:t>s</w:t>
      </w:r>
      <w:r w:rsidRPr="001371B8">
        <w:t xml:space="preserve">tandard </w:t>
      </w:r>
      <w:r w:rsidR="0019602A">
        <w:t xml:space="preserve">is a </w:t>
      </w:r>
      <w:r w:rsidR="00D845F5" w:rsidRPr="001371B8">
        <w:t xml:space="preserve">requirement for </w:t>
      </w:r>
      <w:r w:rsidR="009E11AE">
        <w:t xml:space="preserve">all </w:t>
      </w:r>
      <w:r w:rsidR="00D845F5" w:rsidRPr="001371B8">
        <w:t>providers</w:t>
      </w:r>
      <w:r w:rsidR="009E11AE">
        <w:t xml:space="preserve"> who subcontract more than £100,000</w:t>
      </w:r>
      <w:r w:rsidR="001B3864" w:rsidRPr="001371B8">
        <w:t xml:space="preserve">, which the College </w:t>
      </w:r>
      <w:r w:rsidR="001371B8" w:rsidRPr="001371B8">
        <w:t xml:space="preserve">has </w:t>
      </w:r>
      <w:r w:rsidR="001B3864" w:rsidRPr="001371B8">
        <w:t>successfully a</w:t>
      </w:r>
      <w:r w:rsidR="00E624D1" w:rsidRPr="001371B8">
        <w:t>chieved until 31 July 2026</w:t>
      </w:r>
      <w:r w:rsidR="00641BAD">
        <w:t xml:space="preserve"> and effectively acts as a licence to subcontract</w:t>
      </w:r>
      <w:r w:rsidRPr="001371B8">
        <w:t>.</w:t>
      </w:r>
    </w:p>
    <w:p w14:paraId="64ADACAC" w14:textId="77777777" w:rsidR="00820BDF" w:rsidRPr="000822F3" w:rsidRDefault="00820BDF" w:rsidP="00FB4901"/>
    <w:p w14:paraId="07E12D2D" w14:textId="782BACE2" w:rsidR="00FB4901" w:rsidRPr="000822F3" w:rsidRDefault="00FB4901" w:rsidP="00FB4901">
      <w:r w:rsidRPr="000822F3">
        <w:t>The subcontracting standard provides a</w:t>
      </w:r>
      <w:r w:rsidR="00A77C85" w:rsidRPr="000822F3">
        <w:t xml:space="preserve"> framework for the</w:t>
      </w:r>
      <w:r w:rsidRPr="000822F3">
        <w:t xml:space="preserve"> oversight and management of</w:t>
      </w:r>
      <w:r w:rsidR="00820BDF" w:rsidRPr="000822F3">
        <w:t xml:space="preserve"> </w:t>
      </w:r>
      <w:r w:rsidRPr="000822F3">
        <w:t>public funds</w:t>
      </w:r>
      <w:r w:rsidR="00A77C85" w:rsidRPr="000822F3">
        <w:t>,</w:t>
      </w:r>
      <w:r w:rsidRPr="000822F3">
        <w:t xml:space="preserve"> ensuring that these are used to best effect, to maximise the</w:t>
      </w:r>
      <w:r w:rsidR="00820BDF" w:rsidRPr="000822F3">
        <w:t xml:space="preserve"> </w:t>
      </w:r>
      <w:r w:rsidRPr="000822F3">
        <w:t>value of those funds to benefit the learner.</w:t>
      </w:r>
    </w:p>
    <w:p w14:paraId="7EBDE3B2" w14:textId="77777777" w:rsidR="00820BDF" w:rsidRPr="000822F3" w:rsidRDefault="00820BDF" w:rsidP="00FB4901"/>
    <w:p w14:paraId="2BEA5BAC" w14:textId="77111043" w:rsidR="00FB4901" w:rsidRPr="000822F3" w:rsidRDefault="009E2449" w:rsidP="00FB4901">
      <w:r w:rsidRPr="000822F3">
        <w:t>T</w:t>
      </w:r>
      <w:r w:rsidR="00FB4901" w:rsidRPr="000822F3">
        <w:t>he framework will ensure that there is a clear and consistent approach</w:t>
      </w:r>
      <w:r w:rsidR="00820BDF" w:rsidRPr="000822F3">
        <w:t xml:space="preserve"> </w:t>
      </w:r>
      <w:r w:rsidR="00FB4901" w:rsidRPr="000822F3">
        <w:t xml:space="preserve">for the contract management of </w:t>
      </w:r>
      <w:r w:rsidR="00D2380A">
        <w:t>subcontractor</w:t>
      </w:r>
      <w:r w:rsidR="00FB4901" w:rsidRPr="000822F3">
        <w:t>s by the College and that</w:t>
      </w:r>
      <w:r w:rsidR="00820BDF" w:rsidRPr="000822F3">
        <w:t xml:space="preserve"> </w:t>
      </w:r>
      <w:r w:rsidR="00FB4901" w:rsidRPr="000822F3">
        <w:t>there are robust assurance review arrangements.</w:t>
      </w:r>
    </w:p>
    <w:p w14:paraId="69BE3169" w14:textId="77777777" w:rsidR="00820BDF" w:rsidRPr="000822F3" w:rsidRDefault="00820BDF" w:rsidP="00FB4901"/>
    <w:p w14:paraId="58CB9852" w14:textId="77777777" w:rsidR="00FB4901" w:rsidRPr="000822F3" w:rsidRDefault="00FB4901" w:rsidP="00FB4901">
      <w:r w:rsidRPr="000822F3">
        <w:t>It will assist in mitigating the risk of:</w:t>
      </w:r>
    </w:p>
    <w:p w14:paraId="159F5C88" w14:textId="64A9C27D" w:rsidR="00FB4901" w:rsidRPr="000822F3" w:rsidRDefault="00FB4901" w:rsidP="00AD35F9">
      <w:pPr>
        <w:pStyle w:val="ListParagraph"/>
        <w:numPr>
          <w:ilvl w:val="0"/>
          <w:numId w:val="6"/>
        </w:numPr>
      </w:pPr>
      <w:r w:rsidRPr="000822F3">
        <w:t xml:space="preserve">inadequate (contract) management of </w:t>
      </w:r>
      <w:r w:rsidR="00D2380A">
        <w:t>subcontractor</w:t>
      </w:r>
      <w:r w:rsidRPr="000822F3">
        <w:t>s</w:t>
      </w:r>
    </w:p>
    <w:p w14:paraId="1DAD7F9C" w14:textId="5F9721D4" w:rsidR="00FB4901" w:rsidRPr="000822F3" w:rsidRDefault="00FB4901" w:rsidP="00AD35F9">
      <w:pPr>
        <w:pStyle w:val="ListParagraph"/>
        <w:numPr>
          <w:ilvl w:val="0"/>
          <w:numId w:val="6"/>
        </w:numPr>
      </w:pPr>
      <w:r w:rsidRPr="000822F3">
        <w:t xml:space="preserve">non-compliance with funding rules by </w:t>
      </w:r>
      <w:r w:rsidR="00D2380A">
        <w:t>subcontractor</w:t>
      </w:r>
      <w:r w:rsidRPr="000822F3">
        <w:t>s; and</w:t>
      </w:r>
    </w:p>
    <w:p w14:paraId="240551F9" w14:textId="699934D6" w:rsidR="00FB4901" w:rsidRPr="000822F3" w:rsidRDefault="00FB4901" w:rsidP="00AD35F9">
      <w:pPr>
        <w:pStyle w:val="ListParagraph"/>
        <w:numPr>
          <w:ilvl w:val="0"/>
          <w:numId w:val="6"/>
        </w:numPr>
      </w:pPr>
      <w:r w:rsidRPr="000822F3">
        <w:t>fraudulent and incorrect funding claims</w:t>
      </w:r>
    </w:p>
    <w:p w14:paraId="05BD5C4E" w14:textId="77777777" w:rsidR="00820BDF" w:rsidRPr="000822F3" w:rsidRDefault="00820BDF" w:rsidP="00FB4901"/>
    <w:p w14:paraId="33D3AA08" w14:textId="69300A34" w:rsidR="00FB4901" w:rsidRPr="000822F3" w:rsidRDefault="0005009A" w:rsidP="00FB4901">
      <w:r w:rsidRPr="000822F3">
        <w:t>Appendix 1 outlines the requirements from t</w:t>
      </w:r>
      <w:r w:rsidR="00FB4901" w:rsidRPr="000822F3">
        <w:t xml:space="preserve">he </w:t>
      </w:r>
      <w:r w:rsidR="00FC6661">
        <w:t>s</w:t>
      </w:r>
      <w:r w:rsidR="00FB4901" w:rsidRPr="000822F3">
        <w:t xml:space="preserve">ubcontracting </w:t>
      </w:r>
      <w:r w:rsidR="00FC6661">
        <w:t>s</w:t>
      </w:r>
      <w:r w:rsidR="00FB4901" w:rsidRPr="000822F3">
        <w:t xml:space="preserve">tandard </w:t>
      </w:r>
      <w:r w:rsidR="00C314E5" w:rsidRPr="000822F3">
        <w:t xml:space="preserve">that the College is required </w:t>
      </w:r>
      <w:r w:rsidR="00FB4901" w:rsidRPr="000822F3">
        <w:t xml:space="preserve">to </w:t>
      </w:r>
      <w:r w:rsidR="00494B92" w:rsidRPr="000822F3">
        <w:t>follow.</w:t>
      </w:r>
    </w:p>
    <w:p w14:paraId="4EE9BC23" w14:textId="77777777" w:rsidR="00FB4901" w:rsidRPr="000822F3" w:rsidRDefault="00FB4901" w:rsidP="00071192"/>
    <w:p w14:paraId="42A938CF" w14:textId="09B29E9E" w:rsidR="00461C64" w:rsidRPr="003C664D" w:rsidRDefault="00461C64" w:rsidP="00461C64">
      <w:pPr>
        <w:pStyle w:val="Heading2"/>
      </w:pPr>
      <w:r>
        <w:t xml:space="preserve">Partner </w:t>
      </w:r>
      <w:r w:rsidR="004B39C8">
        <w:t>S</w:t>
      </w:r>
      <w:r>
        <w:t xml:space="preserve">upport and </w:t>
      </w:r>
      <w:r w:rsidRPr="003C664D">
        <w:t>Development</w:t>
      </w:r>
    </w:p>
    <w:p w14:paraId="70F52E0B" w14:textId="7B5E78AE" w:rsidR="00461C64" w:rsidRDefault="00461C64" w:rsidP="00461C64">
      <w:r w:rsidRPr="003C664D">
        <w:t>The College is committed to developing the partners they work with and will have processes in place that clearly set out how provider development activities will be planned, managed, and governed.</w:t>
      </w:r>
    </w:p>
    <w:p w14:paraId="43CDA113" w14:textId="77777777" w:rsidR="00461C64" w:rsidRPr="00461C64" w:rsidRDefault="00461C64" w:rsidP="00461C64"/>
    <w:p w14:paraId="1F78D5E8" w14:textId="0CF1EC8F" w:rsidR="00DE0D6A" w:rsidRPr="00FE1569" w:rsidRDefault="00DE0D6A" w:rsidP="00FE1569">
      <w:pPr>
        <w:rPr>
          <w:rFonts w:cs="Arial"/>
        </w:rPr>
      </w:pPr>
      <w:r w:rsidRPr="0043221F">
        <w:rPr>
          <w:rFonts w:cs="Arial"/>
        </w:rPr>
        <w:t xml:space="preserve">As an </w:t>
      </w:r>
      <w:r w:rsidR="000C768B" w:rsidRPr="0043221F">
        <w:rPr>
          <w:rFonts w:cs="Arial"/>
        </w:rPr>
        <w:t xml:space="preserve">exceptional </w:t>
      </w:r>
      <w:r w:rsidRPr="0043221F">
        <w:rPr>
          <w:rFonts w:cs="Arial"/>
        </w:rPr>
        <w:t>provi</w:t>
      </w:r>
      <w:r w:rsidRPr="000822F3">
        <w:rPr>
          <w:rFonts w:cs="Arial"/>
        </w:rPr>
        <w:t xml:space="preserve">der </w:t>
      </w:r>
      <w:r w:rsidR="00DA13CB">
        <w:rPr>
          <w:rFonts w:cs="Arial"/>
        </w:rPr>
        <w:t>the College</w:t>
      </w:r>
      <w:r w:rsidRPr="000822F3">
        <w:rPr>
          <w:rFonts w:cs="Arial"/>
        </w:rPr>
        <w:t xml:space="preserve"> will work with partners to ensure that all provision is </w:t>
      </w:r>
      <w:r w:rsidR="001C3AC8">
        <w:rPr>
          <w:rFonts w:cs="Arial"/>
        </w:rPr>
        <w:t>of the highest quality</w:t>
      </w:r>
      <w:r w:rsidRPr="000822F3">
        <w:rPr>
          <w:rFonts w:cs="Arial"/>
        </w:rPr>
        <w:t xml:space="preserve">.  </w:t>
      </w:r>
      <w:r w:rsidR="00DA13CB">
        <w:rPr>
          <w:rFonts w:cs="Arial"/>
        </w:rPr>
        <w:t>The College</w:t>
      </w:r>
      <w:r w:rsidRPr="000822F3">
        <w:rPr>
          <w:rFonts w:cs="Arial"/>
        </w:rPr>
        <w:t xml:space="preserve"> will offer to its partners:</w:t>
      </w:r>
    </w:p>
    <w:p w14:paraId="79B2D6CE" w14:textId="77777777" w:rsidR="00DE0D6A" w:rsidRPr="00FE1569" w:rsidRDefault="00DE0D6A" w:rsidP="00AF2CC9">
      <w:pPr>
        <w:pStyle w:val="ListParagraph"/>
        <w:numPr>
          <w:ilvl w:val="0"/>
          <w:numId w:val="16"/>
        </w:numPr>
      </w:pPr>
      <w:r w:rsidRPr="00FE1569">
        <w:t>A contract mirroring funding body requirement.</w:t>
      </w:r>
    </w:p>
    <w:p w14:paraId="5CE79F82" w14:textId="77777777" w:rsidR="00DE0D6A" w:rsidRPr="00FE1569" w:rsidRDefault="00DE0D6A" w:rsidP="00AF2CC9">
      <w:pPr>
        <w:pStyle w:val="ListParagraph"/>
        <w:numPr>
          <w:ilvl w:val="0"/>
          <w:numId w:val="16"/>
        </w:numPr>
      </w:pPr>
      <w:r w:rsidRPr="00FE1569">
        <w:t>Professional training and development for partner staff.</w:t>
      </w:r>
    </w:p>
    <w:p w14:paraId="3CDF360A" w14:textId="77777777" w:rsidR="00DE0D6A" w:rsidRPr="00FE1569" w:rsidRDefault="00DE0D6A" w:rsidP="00AF2CC9">
      <w:pPr>
        <w:pStyle w:val="ListParagraph"/>
        <w:numPr>
          <w:ilvl w:val="0"/>
          <w:numId w:val="16"/>
        </w:numPr>
      </w:pPr>
      <w:r w:rsidRPr="00FE1569">
        <w:t>Access to learning resources and materials.</w:t>
      </w:r>
    </w:p>
    <w:p w14:paraId="5A28E21E" w14:textId="124B49D0" w:rsidR="00DE0D6A" w:rsidRPr="00FE1569" w:rsidRDefault="00DE0D6A" w:rsidP="00AF2CC9">
      <w:pPr>
        <w:pStyle w:val="ListParagraph"/>
        <w:numPr>
          <w:ilvl w:val="0"/>
          <w:numId w:val="16"/>
        </w:numPr>
      </w:pPr>
      <w:r w:rsidRPr="00FE1569">
        <w:t xml:space="preserve">Participation in </w:t>
      </w:r>
      <w:r w:rsidR="00DA13CB" w:rsidRPr="00FE1569">
        <w:t>the College</w:t>
      </w:r>
      <w:r w:rsidRPr="00FE1569">
        <w:t xml:space="preserve"> Observation of Teaching and Learning process.</w:t>
      </w:r>
    </w:p>
    <w:p w14:paraId="57A5B93C" w14:textId="77777777" w:rsidR="00897920" w:rsidRDefault="00DE0D6A" w:rsidP="00AF2CC9">
      <w:pPr>
        <w:pStyle w:val="ListParagraph"/>
        <w:numPr>
          <w:ilvl w:val="0"/>
          <w:numId w:val="16"/>
        </w:numPr>
      </w:pPr>
      <w:r w:rsidRPr="00FE1569">
        <w:t xml:space="preserve">Participation in </w:t>
      </w:r>
      <w:r w:rsidR="00DA13CB" w:rsidRPr="00FE1569">
        <w:t>the College</w:t>
      </w:r>
      <w:r w:rsidRPr="00FE1569">
        <w:t xml:space="preserve"> self-assessment process.</w:t>
      </w:r>
    </w:p>
    <w:p w14:paraId="6E55BF47" w14:textId="69DCF637" w:rsidR="00897920" w:rsidRPr="00FE1569" w:rsidRDefault="00897920" w:rsidP="00AF2CC9">
      <w:pPr>
        <w:pStyle w:val="ListParagraph"/>
        <w:numPr>
          <w:ilvl w:val="0"/>
          <w:numId w:val="16"/>
        </w:numPr>
      </w:pPr>
      <w:r>
        <w:t>Q</w:t>
      </w:r>
      <w:r w:rsidRPr="00956238">
        <w:t>uality improvement support</w:t>
      </w:r>
      <w:r>
        <w:t>.</w:t>
      </w:r>
    </w:p>
    <w:p w14:paraId="1A964D0B" w14:textId="15F9A484" w:rsidR="00DE0D6A" w:rsidRPr="00FE1569" w:rsidRDefault="00DE0D6A" w:rsidP="00AF2CC9">
      <w:pPr>
        <w:pStyle w:val="ListParagraph"/>
        <w:numPr>
          <w:ilvl w:val="0"/>
          <w:numId w:val="16"/>
        </w:numPr>
      </w:pPr>
      <w:r w:rsidRPr="00FE1569">
        <w:t xml:space="preserve">Access to the range of in-house training delivered by </w:t>
      </w:r>
      <w:r w:rsidR="00DA13CB" w:rsidRPr="00FE1569">
        <w:t>the College</w:t>
      </w:r>
      <w:r w:rsidRPr="00FE1569">
        <w:t>.</w:t>
      </w:r>
    </w:p>
    <w:p w14:paraId="13164F2E" w14:textId="37B83B86" w:rsidR="00DE0D6A" w:rsidRPr="00FE1569" w:rsidRDefault="00DE0D6A" w:rsidP="00AF2CC9">
      <w:pPr>
        <w:pStyle w:val="ListParagraph"/>
        <w:numPr>
          <w:ilvl w:val="0"/>
          <w:numId w:val="16"/>
        </w:numPr>
      </w:pPr>
      <w:r w:rsidRPr="00FE1569">
        <w:t xml:space="preserve">Monitoring of initial guidance, </w:t>
      </w:r>
      <w:r w:rsidR="00F91E73" w:rsidRPr="00FE1569">
        <w:t>assessment,</w:t>
      </w:r>
      <w:r w:rsidRPr="00FE1569">
        <w:t xml:space="preserve"> and delivery of learning programs.</w:t>
      </w:r>
    </w:p>
    <w:p w14:paraId="31D05CC5" w14:textId="4345560B" w:rsidR="00BB7B8F" w:rsidRPr="00FE1569" w:rsidRDefault="00BB7B8F" w:rsidP="00AF2CC9">
      <w:pPr>
        <w:pStyle w:val="ListParagraph"/>
        <w:numPr>
          <w:ilvl w:val="0"/>
          <w:numId w:val="16"/>
        </w:numPr>
      </w:pPr>
      <w:r w:rsidRPr="00FE1569">
        <w:t xml:space="preserve">Safeguarding advice, </w:t>
      </w:r>
      <w:r w:rsidR="006C6974" w:rsidRPr="00FE1569">
        <w:t>guidance,</w:t>
      </w:r>
      <w:r w:rsidRPr="00FE1569">
        <w:t xml:space="preserve"> and support.</w:t>
      </w:r>
    </w:p>
    <w:p w14:paraId="494F5F6A" w14:textId="77777777" w:rsidR="00DE0D6A" w:rsidRPr="000A7682" w:rsidRDefault="00DE0D6A" w:rsidP="00AF2CC9">
      <w:pPr>
        <w:pStyle w:val="ListParagraph"/>
        <w:numPr>
          <w:ilvl w:val="0"/>
          <w:numId w:val="17"/>
        </w:numPr>
      </w:pPr>
      <w:r w:rsidRPr="000A7682">
        <w:t>Use college support services such as Enterprise, job search clubs and the Wellbeing Centre.</w:t>
      </w:r>
    </w:p>
    <w:p w14:paraId="37AC10C8" w14:textId="77777777" w:rsidR="000A7682" w:rsidRDefault="000A7682" w:rsidP="00F24904"/>
    <w:p w14:paraId="050C4F76" w14:textId="2626C04D" w:rsidR="00494467" w:rsidRDefault="00BD2895" w:rsidP="00F24904">
      <w:r w:rsidRPr="000822F3">
        <w:t xml:space="preserve">Partners will collect, retain, and submit to the College on request all relevant documents and evidence of learner activity. This will be in line with </w:t>
      </w:r>
      <w:r w:rsidR="00E535DF" w:rsidRPr="000822F3">
        <w:t>Data Protection</w:t>
      </w:r>
      <w:r w:rsidRPr="000822F3">
        <w:t xml:space="preserve"> regulations.</w:t>
      </w:r>
    </w:p>
    <w:p w14:paraId="0ADD8F2C" w14:textId="77777777" w:rsidR="009B395F" w:rsidRPr="000822F3" w:rsidRDefault="009B395F" w:rsidP="00F24904"/>
    <w:p w14:paraId="44510F33" w14:textId="77777777" w:rsidR="00DE0D6A" w:rsidRPr="000822F3" w:rsidRDefault="00DE0D6A" w:rsidP="00DE0D6A">
      <w:pPr>
        <w:pStyle w:val="Heading2"/>
      </w:pPr>
      <w:r w:rsidRPr="000822F3">
        <w:t>Fees</w:t>
      </w:r>
    </w:p>
    <w:p w14:paraId="2C4FF10C" w14:textId="77777777" w:rsidR="002C4D1E" w:rsidRDefault="0021732F" w:rsidP="002C4D1E">
      <w:r w:rsidRPr="000822F3">
        <w:t>The</w:t>
      </w:r>
      <w:r w:rsidR="00DE0D6A" w:rsidRPr="000822F3">
        <w:t xml:space="preserve"> College</w:t>
      </w:r>
      <w:r w:rsidR="00C46A5C">
        <w:t xml:space="preserve"> retain</w:t>
      </w:r>
      <w:r w:rsidR="004034B9">
        <w:t>s</w:t>
      </w:r>
      <w:r w:rsidR="00C46A5C">
        <w:t xml:space="preserve"> a man</w:t>
      </w:r>
      <w:r w:rsidR="0030123E">
        <w:t xml:space="preserve">agement </w:t>
      </w:r>
      <w:r w:rsidR="00DE0D6A" w:rsidRPr="000822F3">
        <w:t xml:space="preserve">fee </w:t>
      </w:r>
      <w:r w:rsidR="00B416D7">
        <w:t xml:space="preserve">from all subcontracted partner organisations, typically this is </w:t>
      </w:r>
      <w:r w:rsidR="005C16E4" w:rsidRPr="000822F3">
        <w:t>20</w:t>
      </w:r>
      <w:r w:rsidR="00DE0D6A" w:rsidRPr="000822F3">
        <w:t>%.</w:t>
      </w:r>
      <w:r w:rsidR="002C4D1E">
        <w:t xml:space="preserve"> </w:t>
      </w:r>
      <w:r w:rsidR="002C4D1E" w:rsidRPr="000822F3">
        <w:t xml:space="preserve">The fees charged reflect the cost of the procurement </w:t>
      </w:r>
      <w:r w:rsidR="002C4D1E">
        <w:t>activities</w:t>
      </w:r>
      <w:r w:rsidR="002C4D1E" w:rsidRPr="000822F3">
        <w:t xml:space="preserve"> and the management of the contracts. It also covers the cost of partners’ delivery staff attending college training events on Safeguarding, FGM and Prevent which are mandatory.</w:t>
      </w:r>
    </w:p>
    <w:p w14:paraId="74C0ED3E" w14:textId="11DF35AD" w:rsidR="00DE0D6A" w:rsidRDefault="00DE0D6A" w:rsidP="00DE0D6A"/>
    <w:p w14:paraId="6BE9E10A" w14:textId="09139D40" w:rsidR="00840AD3" w:rsidRPr="000822F3" w:rsidRDefault="00840AD3" w:rsidP="00DE0D6A">
      <w:r w:rsidRPr="000822F3">
        <w:t>Fees are set on an individual basis and may vary dependant on the cost incurred for support and management activity required to mitigate the risk level and ensure the quality and success of the subcontracted provision.</w:t>
      </w:r>
    </w:p>
    <w:p w14:paraId="1A878C36" w14:textId="77777777" w:rsidR="00840AD3" w:rsidRPr="000822F3" w:rsidRDefault="00840AD3" w:rsidP="00DE0D6A"/>
    <w:p w14:paraId="2D85B5C5" w14:textId="55377FEE" w:rsidR="00DE0D6A" w:rsidRPr="000822F3" w:rsidRDefault="00DE0D6A" w:rsidP="00DE0D6A">
      <w:r w:rsidRPr="000822F3">
        <w:t xml:space="preserve">Further additional services may be mutually agreed between </w:t>
      </w:r>
      <w:r w:rsidR="0056523A" w:rsidRPr="000822F3">
        <w:t>the</w:t>
      </w:r>
      <w:r w:rsidRPr="000822F3">
        <w:t xml:space="preserve"> College and the </w:t>
      </w:r>
      <w:r w:rsidR="005C16E4" w:rsidRPr="000822F3">
        <w:t>partner</w:t>
      </w:r>
      <w:r w:rsidRPr="000822F3">
        <w:t xml:space="preserve">. Additional services may be charged as a </w:t>
      </w:r>
      <w:r w:rsidR="00D030B6" w:rsidRPr="000822F3">
        <w:t>one-off</w:t>
      </w:r>
      <w:r w:rsidRPr="000822F3">
        <w:t xml:space="preserve"> fee or as a percentage of contract value.</w:t>
      </w:r>
    </w:p>
    <w:p w14:paraId="7D9B0727" w14:textId="77777777" w:rsidR="00DE0D6A" w:rsidRPr="000822F3" w:rsidRDefault="00DE0D6A" w:rsidP="00DE0D6A"/>
    <w:p w14:paraId="69854C73" w14:textId="4893681E" w:rsidR="00795B7A" w:rsidRPr="000822F3" w:rsidRDefault="0072795B" w:rsidP="00DE0D6A">
      <w:r w:rsidRPr="000822F3">
        <w:t>A breakdown of t</w:t>
      </w:r>
      <w:r w:rsidR="005A49CE" w:rsidRPr="000822F3">
        <w:t xml:space="preserve">he normal </w:t>
      </w:r>
      <w:r w:rsidRPr="000822F3">
        <w:t xml:space="preserve">20% </w:t>
      </w:r>
      <w:r w:rsidR="00CB7089" w:rsidRPr="000822F3">
        <w:t xml:space="preserve">fee </w:t>
      </w:r>
      <w:r w:rsidRPr="000822F3">
        <w:t>is</w:t>
      </w:r>
      <w:r w:rsidR="00CB7089" w:rsidRPr="000822F3">
        <w:t xml:space="preserve"> shown </w:t>
      </w:r>
      <w:r w:rsidR="007C006C" w:rsidRPr="000822F3">
        <w:t>below:</w:t>
      </w:r>
    </w:p>
    <w:p w14:paraId="658FAC5D" w14:textId="53D45A4E" w:rsidR="007C006C" w:rsidRPr="000822F3" w:rsidRDefault="007C006C" w:rsidP="00DE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63"/>
        <w:gridCol w:w="1531"/>
        <w:gridCol w:w="3175"/>
        <w:gridCol w:w="3967"/>
      </w:tblGrid>
      <w:tr w:rsidR="000822F3" w:rsidRPr="000822F3" w14:paraId="22971DFC" w14:textId="77777777" w:rsidTr="0075449B">
        <w:trPr>
          <w:trHeight w:val="498"/>
        </w:trPr>
        <w:tc>
          <w:tcPr>
            <w:tcW w:w="1463" w:type="dxa"/>
          </w:tcPr>
          <w:p w14:paraId="18D6A132" w14:textId="77777777" w:rsidR="00FD5248" w:rsidRPr="000822F3" w:rsidRDefault="00FD5248" w:rsidP="0075449B">
            <w:pPr>
              <w:rPr>
                <w:b/>
                <w:bCs/>
                <w:sz w:val="20"/>
                <w:szCs w:val="20"/>
              </w:rPr>
            </w:pPr>
            <w:r w:rsidRPr="000822F3">
              <w:rPr>
                <w:b/>
                <w:bCs/>
                <w:sz w:val="20"/>
                <w:szCs w:val="20"/>
              </w:rPr>
              <w:t>College Activity</w:t>
            </w:r>
          </w:p>
        </w:tc>
        <w:tc>
          <w:tcPr>
            <w:tcW w:w="1531" w:type="dxa"/>
          </w:tcPr>
          <w:p w14:paraId="7CF2C3C4" w14:textId="77777777" w:rsidR="00FD5248" w:rsidRPr="000822F3" w:rsidRDefault="00FD5248" w:rsidP="0075449B">
            <w:pPr>
              <w:rPr>
                <w:b/>
                <w:bCs/>
                <w:sz w:val="20"/>
                <w:szCs w:val="20"/>
              </w:rPr>
            </w:pPr>
            <w:r w:rsidRPr="000822F3">
              <w:rPr>
                <w:b/>
                <w:bCs/>
                <w:sz w:val="20"/>
                <w:szCs w:val="20"/>
              </w:rPr>
              <w:t>% Indicative fee (may vary)</w:t>
            </w:r>
          </w:p>
        </w:tc>
        <w:tc>
          <w:tcPr>
            <w:tcW w:w="3175" w:type="dxa"/>
          </w:tcPr>
          <w:p w14:paraId="084D36C9" w14:textId="77777777" w:rsidR="00FD5248" w:rsidRPr="000822F3" w:rsidRDefault="00FD5248" w:rsidP="0075449B">
            <w:pPr>
              <w:rPr>
                <w:b/>
                <w:bCs/>
                <w:sz w:val="20"/>
                <w:szCs w:val="20"/>
              </w:rPr>
            </w:pPr>
            <w:r w:rsidRPr="000822F3">
              <w:rPr>
                <w:b/>
                <w:bCs/>
                <w:sz w:val="20"/>
                <w:szCs w:val="20"/>
              </w:rPr>
              <w:t>Contribution to high quality training</w:t>
            </w:r>
          </w:p>
        </w:tc>
        <w:tc>
          <w:tcPr>
            <w:tcW w:w="3967" w:type="dxa"/>
          </w:tcPr>
          <w:p w14:paraId="153B64CF" w14:textId="77777777" w:rsidR="00FD5248" w:rsidRPr="000822F3" w:rsidRDefault="00FD5248" w:rsidP="0075449B">
            <w:pPr>
              <w:rPr>
                <w:b/>
                <w:bCs/>
                <w:sz w:val="20"/>
                <w:szCs w:val="20"/>
              </w:rPr>
            </w:pPr>
            <w:r w:rsidRPr="000822F3">
              <w:rPr>
                <w:b/>
                <w:bCs/>
                <w:sz w:val="20"/>
                <w:szCs w:val="20"/>
              </w:rPr>
              <w:t>Explanation of how cost is proportionate to subcontracted training</w:t>
            </w:r>
          </w:p>
        </w:tc>
      </w:tr>
      <w:tr w:rsidR="000822F3" w:rsidRPr="000822F3" w14:paraId="487A38D2" w14:textId="77777777" w:rsidTr="0075449B">
        <w:trPr>
          <w:trHeight w:val="1134"/>
        </w:trPr>
        <w:tc>
          <w:tcPr>
            <w:tcW w:w="1463" w:type="dxa"/>
            <w:vAlign w:val="center"/>
          </w:tcPr>
          <w:p w14:paraId="1A661CA6" w14:textId="77777777" w:rsidR="00FD5248" w:rsidRPr="000822F3" w:rsidRDefault="00FD5248" w:rsidP="0075449B">
            <w:pPr>
              <w:rPr>
                <w:sz w:val="20"/>
                <w:szCs w:val="20"/>
              </w:rPr>
            </w:pPr>
            <w:r w:rsidRPr="000822F3">
              <w:rPr>
                <w:sz w:val="20"/>
                <w:szCs w:val="20"/>
              </w:rPr>
              <w:t>Quality Monitoring</w:t>
            </w:r>
          </w:p>
        </w:tc>
        <w:tc>
          <w:tcPr>
            <w:tcW w:w="1531" w:type="dxa"/>
            <w:vAlign w:val="center"/>
          </w:tcPr>
          <w:p w14:paraId="5A65C673" w14:textId="77777777" w:rsidR="00FD5248" w:rsidRPr="000822F3" w:rsidRDefault="00FD5248" w:rsidP="0075449B">
            <w:pPr>
              <w:rPr>
                <w:sz w:val="20"/>
                <w:szCs w:val="20"/>
              </w:rPr>
            </w:pPr>
            <w:r w:rsidRPr="000822F3">
              <w:rPr>
                <w:sz w:val="20"/>
                <w:szCs w:val="20"/>
              </w:rPr>
              <w:t>5%</w:t>
            </w:r>
          </w:p>
        </w:tc>
        <w:tc>
          <w:tcPr>
            <w:tcW w:w="3175" w:type="dxa"/>
            <w:vAlign w:val="center"/>
          </w:tcPr>
          <w:p w14:paraId="0D7B01D2" w14:textId="77777777" w:rsidR="00FD5248" w:rsidRPr="000822F3" w:rsidRDefault="00FD5248" w:rsidP="0075449B">
            <w:pPr>
              <w:rPr>
                <w:sz w:val="20"/>
                <w:szCs w:val="20"/>
              </w:rPr>
            </w:pPr>
            <w:r w:rsidRPr="000822F3">
              <w:rPr>
                <w:sz w:val="20"/>
                <w:szCs w:val="20"/>
              </w:rPr>
              <w:t>Provides focus on quality of delivery.</w:t>
            </w:r>
          </w:p>
        </w:tc>
        <w:tc>
          <w:tcPr>
            <w:tcW w:w="3967" w:type="dxa"/>
            <w:vAlign w:val="center"/>
          </w:tcPr>
          <w:p w14:paraId="4301992D" w14:textId="77777777" w:rsidR="00FD5248" w:rsidRPr="000822F3" w:rsidRDefault="00FD5248" w:rsidP="0075449B">
            <w:pPr>
              <w:rPr>
                <w:sz w:val="20"/>
                <w:szCs w:val="20"/>
              </w:rPr>
            </w:pPr>
            <w:r w:rsidRPr="000822F3">
              <w:rPr>
                <w:sz w:val="20"/>
                <w:szCs w:val="20"/>
              </w:rPr>
              <w:t>Quality: Including observations supporting tutors with improvement/learner feedback and assessment reviews/learner</w:t>
            </w:r>
          </w:p>
          <w:p w14:paraId="2F5E1C8E" w14:textId="77777777" w:rsidR="00FD5248" w:rsidRPr="000822F3" w:rsidRDefault="00FD5248" w:rsidP="0075449B">
            <w:pPr>
              <w:rPr>
                <w:sz w:val="20"/>
                <w:szCs w:val="20"/>
              </w:rPr>
            </w:pPr>
            <w:r w:rsidRPr="000822F3">
              <w:rPr>
                <w:sz w:val="20"/>
                <w:szCs w:val="20"/>
              </w:rPr>
              <w:t>walks/learner calls.</w:t>
            </w:r>
          </w:p>
        </w:tc>
      </w:tr>
      <w:tr w:rsidR="000822F3" w:rsidRPr="000822F3" w14:paraId="3B7F7E2F" w14:textId="77777777" w:rsidTr="0075449B">
        <w:trPr>
          <w:trHeight w:val="1134"/>
        </w:trPr>
        <w:tc>
          <w:tcPr>
            <w:tcW w:w="1463" w:type="dxa"/>
            <w:vAlign w:val="center"/>
          </w:tcPr>
          <w:p w14:paraId="13E2A3D6" w14:textId="43F9BBD9" w:rsidR="00FD5248" w:rsidRPr="000822F3" w:rsidRDefault="00D2380A" w:rsidP="0075449B">
            <w:pPr>
              <w:rPr>
                <w:sz w:val="20"/>
                <w:szCs w:val="20"/>
              </w:rPr>
            </w:pPr>
            <w:r>
              <w:rPr>
                <w:sz w:val="20"/>
                <w:szCs w:val="20"/>
              </w:rPr>
              <w:t>Subcontractor</w:t>
            </w:r>
            <w:r w:rsidR="00FD5248" w:rsidRPr="000822F3">
              <w:rPr>
                <w:sz w:val="20"/>
                <w:szCs w:val="20"/>
              </w:rPr>
              <w:t xml:space="preserve"> Management</w:t>
            </w:r>
          </w:p>
        </w:tc>
        <w:tc>
          <w:tcPr>
            <w:tcW w:w="1531" w:type="dxa"/>
            <w:vAlign w:val="center"/>
          </w:tcPr>
          <w:p w14:paraId="78B41085" w14:textId="41C3E373" w:rsidR="00FD5248" w:rsidRPr="000822F3" w:rsidRDefault="00B64521" w:rsidP="0075449B">
            <w:pPr>
              <w:rPr>
                <w:sz w:val="20"/>
                <w:szCs w:val="20"/>
              </w:rPr>
            </w:pPr>
            <w:r>
              <w:rPr>
                <w:sz w:val="20"/>
                <w:szCs w:val="20"/>
              </w:rPr>
              <w:t>10</w:t>
            </w:r>
            <w:r w:rsidR="00FD5248" w:rsidRPr="000822F3">
              <w:rPr>
                <w:sz w:val="20"/>
                <w:szCs w:val="20"/>
              </w:rPr>
              <w:t>%</w:t>
            </w:r>
          </w:p>
        </w:tc>
        <w:tc>
          <w:tcPr>
            <w:tcW w:w="3175" w:type="dxa"/>
            <w:vAlign w:val="center"/>
          </w:tcPr>
          <w:p w14:paraId="2EEABEF8" w14:textId="77777777" w:rsidR="00FD5248" w:rsidRPr="000822F3" w:rsidRDefault="00FD5248" w:rsidP="0075449B">
            <w:pPr>
              <w:rPr>
                <w:sz w:val="20"/>
                <w:szCs w:val="20"/>
              </w:rPr>
            </w:pPr>
            <w:r w:rsidRPr="000822F3">
              <w:rPr>
                <w:sz w:val="20"/>
                <w:szCs w:val="20"/>
              </w:rPr>
              <w:t>Provides ongoing compliance with funding rules and regulations with focus on learner progress and success/achievement.</w:t>
            </w:r>
          </w:p>
        </w:tc>
        <w:tc>
          <w:tcPr>
            <w:tcW w:w="3967" w:type="dxa"/>
            <w:vAlign w:val="center"/>
          </w:tcPr>
          <w:p w14:paraId="7EAD0549" w14:textId="77777777" w:rsidR="00FD5248" w:rsidRPr="000822F3" w:rsidRDefault="00FD5248" w:rsidP="0075449B">
            <w:pPr>
              <w:rPr>
                <w:sz w:val="20"/>
                <w:szCs w:val="20"/>
              </w:rPr>
            </w:pPr>
            <w:r w:rsidRPr="000822F3">
              <w:rPr>
                <w:sz w:val="20"/>
                <w:szCs w:val="20"/>
              </w:rPr>
              <w:t xml:space="preserve">Contract compliance </w:t>
            </w:r>
          </w:p>
          <w:p w14:paraId="4EB0AF84" w14:textId="77777777" w:rsidR="00FD5248" w:rsidRPr="000822F3" w:rsidRDefault="00FD5248" w:rsidP="0075449B">
            <w:pPr>
              <w:rPr>
                <w:sz w:val="20"/>
                <w:szCs w:val="20"/>
              </w:rPr>
            </w:pPr>
            <w:r w:rsidRPr="000822F3">
              <w:rPr>
                <w:sz w:val="20"/>
                <w:szCs w:val="20"/>
              </w:rPr>
              <w:t xml:space="preserve">Contracting </w:t>
            </w:r>
          </w:p>
          <w:p w14:paraId="6B4A274E" w14:textId="77777777" w:rsidR="00FD5248" w:rsidRPr="000822F3" w:rsidRDefault="00FD5248" w:rsidP="0075449B">
            <w:pPr>
              <w:rPr>
                <w:sz w:val="20"/>
                <w:szCs w:val="20"/>
              </w:rPr>
            </w:pPr>
            <w:r w:rsidRPr="000822F3">
              <w:rPr>
                <w:sz w:val="20"/>
                <w:szCs w:val="20"/>
              </w:rPr>
              <w:t xml:space="preserve">Contract Reviews </w:t>
            </w:r>
          </w:p>
          <w:p w14:paraId="16D2B8B3" w14:textId="77777777" w:rsidR="00FD5248" w:rsidRPr="000822F3" w:rsidRDefault="00FD5248" w:rsidP="0075449B">
            <w:pPr>
              <w:rPr>
                <w:sz w:val="20"/>
                <w:szCs w:val="20"/>
              </w:rPr>
            </w:pPr>
            <w:r w:rsidRPr="000822F3">
              <w:rPr>
                <w:sz w:val="20"/>
                <w:szCs w:val="20"/>
              </w:rPr>
              <w:t>Funding reports</w:t>
            </w:r>
          </w:p>
          <w:p w14:paraId="2D046B18" w14:textId="77777777" w:rsidR="00FD5248" w:rsidRPr="000822F3" w:rsidRDefault="00FD5248" w:rsidP="0075449B">
            <w:pPr>
              <w:rPr>
                <w:sz w:val="20"/>
                <w:szCs w:val="20"/>
              </w:rPr>
            </w:pPr>
            <w:r w:rsidRPr="000822F3">
              <w:rPr>
                <w:sz w:val="20"/>
                <w:szCs w:val="20"/>
              </w:rPr>
              <w:t>Performance management</w:t>
            </w:r>
          </w:p>
          <w:p w14:paraId="1D8D36D0" w14:textId="77777777" w:rsidR="00FD5248" w:rsidRPr="000822F3" w:rsidRDefault="00FD5248" w:rsidP="0075449B">
            <w:pPr>
              <w:rPr>
                <w:sz w:val="20"/>
                <w:szCs w:val="20"/>
              </w:rPr>
            </w:pPr>
            <w:r w:rsidRPr="000822F3">
              <w:rPr>
                <w:sz w:val="20"/>
                <w:szCs w:val="20"/>
              </w:rPr>
              <w:t>Managing Audits</w:t>
            </w:r>
          </w:p>
          <w:p w14:paraId="4D7C7ACA" w14:textId="77777777" w:rsidR="00FD5248" w:rsidRPr="000822F3" w:rsidRDefault="00FD5248" w:rsidP="0075449B">
            <w:pPr>
              <w:rPr>
                <w:sz w:val="20"/>
                <w:szCs w:val="20"/>
              </w:rPr>
            </w:pPr>
            <w:r w:rsidRPr="000822F3">
              <w:rPr>
                <w:sz w:val="20"/>
                <w:szCs w:val="20"/>
              </w:rPr>
              <w:t>Partner review meetings</w:t>
            </w:r>
          </w:p>
        </w:tc>
      </w:tr>
      <w:tr w:rsidR="000822F3" w:rsidRPr="000822F3" w14:paraId="066CE9C8" w14:textId="77777777" w:rsidTr="0075449B">
        <w:trPr>
          <w:trHeight w:val="1134"/>
        </w:trPr>
        <w:tc>
          <w:tcPr>
            <w:tcW w:w="1463" w:type="dxa"/>
            <w:vAlign w:val="center"/>
          </w:tcPr>
          <w:p w14:paraId="2518B302" w14:textId="77777777" w:rsidR="00FD5248" w:rsidRPr="000822F3" w:rsidRDefault="00FD5248" w:rsidP="0075449B">
            <w:pPr>
              <w:rPr>
                <w:sz w:val="20"/>
                <w:szCs w:val="20"/>
              </w:rPr>
            </w:pPr>
            <w:r w:rsidRPr="000822F3">
              <w:rPr>
                <w:sz w:val="20"/>
                <w:szCs w:val="20"/>
              </w:rPr>
              <w:lastRenderedPageBreak/>
              <w:t>Support costs</w:t>
            </w:r>
          </w:p>
        </w:tc>
        <w:tc>
          <w:tcPr>
            <w:tcW w:w="1531" w:type="dxa"/>
            <w:vAlign w:val="center"/>
          </w:tcPr>
          <w:p w14:paraId="3F9816B6" w14:textId="58F2B93A" w:rsidR="00FD5248" w:rsidRPr="000822F3" w:rsidRDefault="00B64521" w:rsidP="0075449B">
            <w:pPr>
              <w:rPr>
                <w:sz w:val="20"/>
                <w:szCs w:val="20"/>
              </w:rPr>
            </w:pPr>
            <w:r>
              <w:rPr>
                <w:sz w:val="20"/>
                <w:szCs w:val="20"/>
              </w:rPr>
              <w:t>2.5</w:t>
            </w:r>
            <w:r w:rsidR="00FD5248" w:rsidRPr="000822F3">
              <w:rPr>
                <w:sz w:val="20"/>
                <w:szCs w:val="20"/>
              </w:rPr>
              <w:t>%</w:t>
            </w:r>
          </w:p>
        </w:tc>
        <w:tc>
          <w:tcPr>
            <w:tcW w:w="3175" w:type="dxa"/>
            <w:vAlign w:val="center"/>
          </w:tcPr>
          <w:p w14:paraId="48AC2CCB" w14:textId="77777777" w:rsidR="00FD5248" w:rsidRPr="000822F3" w:rsidRDefault="00FD5248" w:rsidP="0075449B">
            <w:pPr>
              <w:rPr>
                <w:sz w:val="20"/>
                <w:szCs w:val="20"/>
              </w:rPr>
            </w:pPr>
            <w:r w:rsidRPr="000822F3">
              <w:rPr>
                <w:sz w:val="20"/>
                <w:szCs w:val="20"/>
              </w:rPr>
              <w:t>Provides quality administrative support for enrolments, data submissions and achievements.</w:t>
            </w:r>
          </w:p>
        </w:tc>
        <w:tc>
          <w:tcPr>
            <w:tcW w:w="3967" w:type="dxa"/>
            <w:vAlign w:val="center"/>
          </w:tcPr>
          <w:p w14:paraId="103F3813" w14:textId="77777777" w:rsidR="00FD5248" w:rsidRPr="000822F3" w:rsidRDefault="00FD5248" w:rsidP="0075449B">
            <w:pPr>
              <w:rPr>
                <w:sz w:val="20"/>
                <w:szCs w:val="20"/>
              </w:rPr>
            </w:pPr>
            <w:r w:rsidRPr="000822F3">
              <w:rPr>
                <w:sz w:val="20"/>
                <w:szCs w:val="20"/>
              </w:rPr>
              <w:t>Enrolments/Achievements</w:t>
            </w:r>
          </w:p>
          <w:p w14:paraId="6456D996" w14:textId="77777777" w:rsidR="00FD5248" w:rsidRPr="000822F3" w:rsidRDefault="00FD5248" w:rsidP="0075449B">
            <w:pPr>
              <w:rPr>
                <w:sz w:val="20"/>
                <w:szCs w:val="20"/>
              </w:rPr>
            </w:pPr>
            <w:r w:rsidRPr="000822F3">
              <w:rPr>
                <w:sz w:val="20"/>
                <w:szCs w:val="20"/>
              </w:rPr>
              <w:t>Monthly reports</w:t>
            </w:r>
          </w:p>
          <w:p w14:paraId="72E64188" w14:textId="77777777" w:rsidR="00FD5248" w:rsidRPr="000822F3" w:rsidRDefault="00FD5248" w:rsidP="0075449B">
            <w:pPr>
              <w:rPr>
                <w:sz w:val="20"/>
                <w:szCs w:val="20"/>
              </w:rPr>
            </w:pPr>
            <w:r w:rsidRPr="000822F3">
              <w:rPr>
                <w:sz w:val="20"/>
                <w:szCs w:val="20"/>
              </w:rPr>
              <w:t>Management Support</w:t>
            </w:r>
          </w:p>
        </w:tc>
      </w:tr>
      <w:tr w:rsidR="00FD5248" w:rsidRPr="000822F3" w14:paraId="6CDA6ACD" w14:textId="77777777" w:rsidTr="0075449B">
        <w:trPr>
          <w:trHeight w:val="1134"/>
        </w:trPr>
        <w:tc>
          <w:tcPr>
            <w:tcW w:w="1463" w:type="dxa"/>
            <w:vAlign w:val="center"/>
          </w:tcPr>
          <w:p w14:paraId="1B515C60" w14:textId="77777777" w:rsidR="00FD5248" w:rsidRPr="000822F3" w:rsidRDefault="00FD5248" w:rsidP="0075449B">
            <w:pPr>
              <w:rPr>
                <w:sz w:val="20"/>
                <w:szCs w:val="20"/>
              </w:rPr>
            </w:pPr>
            <w:r w:rsidRPr="000822F3">
              <w:rPr>
                <w:sz w:val="20"/>
                <w:szCs w:val="20"/>
              </w:rPr>
              <w:t>Other – Governance, Funding and data and Finance</w:t>
            </w:r>
          </w:p>
        </w:tc>
        <w:tc>
          <w:tcPr>
            <w:tcW w:w="1531" w:type="dxa"/>
            <w:vAlign w:val="center"/>
          </w:tcPr>
          <w:p w14:paraId="1B5183A1" w14:textId="39220BB7" w:rsidR="00FD5248" w:rsidRPr="000822F3" w:rsidRDefault="00FD5248" w:rsidP="0075449B">
            <w:pPr>
              <w:rPr>
                <w:sz w:val="20"/>
                <w:szCs w:val="20"/>
              </w:rPr>
            </w:pPr>
            <w:r w:rsidRPr="000822F3">
              <w:rPr>
                <w:sz w:val="20"/>
                <w:szCs w:val="20"/>
              </w:rPr>
              <w:t>2</w:t>
            </w:r>
            <w:r w:rsidR="00B64521">
              <w:rPr>
                <w:sz w:val="20"/>
                <w:szCs w:val="20"/>
              </w:rPr>
              <w:t>.5</w:t>
            </w:r>
            <w:r w:rsidRPr="000822F3">
              <w:rPr>
                <w:sz w:val="20"/>
                <w:szCs w:val="20"/>
              </w:rPr>
              <w:t>%</w:t>
            </w:r>
          </w:p>
        </w:tc>
        <w:tc>
          <w:tcPr>
            <w:tcW w:w="3175" w:type="dxa"/>
            <w:vAlign w:val="center"/>
          </w:tcPr>
          <w:p w14:paraId="2133662C" w14:textId="77777777" w:rsidR="00FD5248" w:rsidRPr="000822F3" w:rsidRDefault="00FD5248" w:rsidP="0075449B">
            <w:pPr>
              <w:rPr>
                <w:sz w:val="20"/>
                <w:szCs w:val="20"/>
              </w:rPr>
            </w:pPr>
            <w:r w:rsidRPr="000822F3">
              <w:rPr>
                <w:sz w:val="20"/>
                <w:szCs w:val="20"/>
              </w:rPr>
              <w:t>Ongoing governance and compliance with regulations, submission and audit of ILR returns. Support with audits.</w:t>
            </w:r>
          </w:p>
        </w:tc>
        <w:tc>
          <w:tcPr>
            <w:tcW w:w="3967" w:type="dxa"/>
            <w:vAlign w:val="center"/>
          </w:tcPr>
          <w:p w14:paraId="4BE35FAE" w14:textId="77777777" w:rsidR="00FD5248" w:rsidRPr="000822F3" w:rsidRDefault="00FD5248" w:rsidP="0075449B">
            <w:pPr>
              <w:rPr>
                <w:sz w:val="20"/>
                <w:szCs w:val="20"/>
              </w:rPr>
            </w:pPr>
            <w:r w:rsidRPr="000822F3">
              <w:rPr>
                <w:sz w:val="20"/>
                <w:szCs w:val="20"/>
              </w:rPr>
              <w:t>All governance and financial control</w:t>
            </w:r>
          </w:p>
        </w:tc>
      </w:tr>
    </w:tbl>
    <w:p w14:paraId="1499391B" w14:textId="55308152" w:rsidR="007C006C" w:rsidRPr="000822F3" w:rsidRDefault="007C006C" w:rsidP="00DE0D6A"/>
    <w:p w14:paraId="18E67F62" w14:textId="5EA85B02" w:rsidR="00602C43" w:rsidRDefault="00602C43" w:rsidP="00602C43">
      <w:r w:rsidRPr="00974446">
        <w:t>Th</w:t>
      </w:r>
      <w:r w:rsidR="0019053F" w:rsidRPr="00974446">
        <w:t>e</w:t>
      </w:r>
      <w:r w:rsidRPr="00974446">
        <w:t xml:space="preserve"> charges outlined above </w:t>
      </w:r>
      <w:r w:rsidR="0019053F" w:rsidRPr="00974446">
        <w:t>are</w:t>
      </w:r>
      <w:r w:rsidRPr="00974446">
        <w:t xml:space="preserve"> reviewed each year to determine whether </w:t>
      </w:r>
      <w:r w:rsidR="0019053F" w:rsidRPr="00974446">
        <w:t xml:space="preserve">they are </w:t>
      </w:r>
      <w:r w:rsidRPr="00974446">
        <w:t xml:space="preserve">reasonable and proportionate. Careful consideration will be given to whether these charges contribute positively to an improvement in the quality of teaching and learning delivered by the </w:t>
      </w:r>
      <w:r w:rsidR="00D2380A">
        <w:t>subcontractor</w:t>
      </w:r>
      <w:r w:rsidRPr="00974446">
        <w:t>. Changes will be made if required.</w:t>
      </w:r>
    </w:p>
    <w:p w14:paraId="5FC42B31" w14:textId="77777777" w:rsidR="004C23BC" w:rsidRPr="00974446" w:rsidRDefault="004C23BC" w:rsidP="00602C43"/>
    <w:p w14:paraId="65F157E8" w14:textId="183DEF1B" w:rsidR="001E6717" w:rsidRDefault="00602C43" w:rsidP="00602C43">
      <w:r w:rsidRPr="00974446">
        <w:t xml:space="preserve">The specific costs are included in the contract issued to each </w:t>
      </w:r>
      <w:r w:rsidR="003C586C">
        <w:t>Partner</w:t>
      </w:r>
      <w:r w:rsidRPr="00974446">
        <w:t xml:space="preserve"> and are discussed </w:t>
      </w:r>
      <w:r w:rsidR="00EB64C7" w:rsidRPr="00974446">
        <w:t>as part of the</w:t>
      </w:r>
      <w:r w:rsidRPr="00974446">
        <w:t xml:space="preserve"> contract management meeting</w:t>
      </w:r>
      <w:r w:rsidR="00EB64C7" w:rsidRPr="00974446">
        <w:t>s</w:t>
      </w:r>
      <w:r w:rsidRPr="00974446">
        <w:t xml:space="preserve"> to ensure that the </w:t>
      </w:r>
      <w:r w:rsidR="003C586C">
        <w:t>Partner</w:t>
      </w:r>
      <w:r w:rsidRPr="00974446">
        <w:t xml:space="preserve"> agrees that the costs are reasonable and proportionate and understands how they contribute to delivering high quality learning.</w:t>
      </w:r>
    </w:p>
    <w:p w14:paraId="1B0A9878" w14:textId="77777777" w:rsidR="00602C43" w:rsidRPr="000822F3" w:rsidRDefault="00602C43" w:rsidP="00602C43"/>
    <w:p w14:paraId="348B0839" w14:textId="77777777" w:rsidR="00DE0D6A" w:rsidRPr="000822F3" w:rsidRDefault="00DE0D6A" w:rsidP="00DE0D6A">
      <w:pPr>
        <w:pStyle w:val="Heading2"/>
      </w:pPr>
      <w:r w:rsidRPr="000822F3">
        <w:t>Payment Terms</w:t>
      </w:r>
    </w:p>
    <w:p w14:paraId="54C73AF0" w14:textId="3C00946B" w:rsidR="00DE0D6A" w:rsidRPr="000822F3" w:rsidRDefault="00DE0D6A" w:rsidP="00DE0D6A">
      <w:pPr>
        <w:rPr>
          <w:rFonts w:cs="Arial"/>
        </w:rPr>
      </w:pPr>
      <w:r w:rsidRPr="000822F3">
        <w:rPr>
          <w:rFonts w:cs="Arial"/>
        </w:rPr>
        <w:t>The exact form and amount paid will clearly vary from contract to contract.  However, the following principles apply:</w:t>
      </w:r>
    </w:p>
    <w:p w14:paraId="7A2CE6EB" w14:textId="77777777" w:rsidR="00DE0D6A" w:rsidRPr="000A7682" w:rsidRDefault="00DE0D6A" w:rsidP="00AF2CC9">
      <w:pPr>
        <w:pStyle w:val="ListParagraph"/>
        <w:numPr>
          <w:ilvl w:val="0"/>
          <w:numId w:val="18"/>
        </w:numPr>
      </w:pPr>
      <w:r w:rsidRPr="000A7682">
        <w:t xml:space="preserve">On programme funding will be paid </w:t>
      </w:r>
      <w:proofErr w:type="gramStart"/>
      <w:r w:rsidRPr="000A7682">
        <w:t>on a monthly basis</w:t>
      </w:r>
      <w:proofErr w:type="gramEnd"/>
      <w:r w:rsidRPr="000A7682">
        <w:t xml:space="preserve"> after the learner has become fundable</w:t>
      </w:r>
      <w:r w:rsidR="001E7590" w:rsidRPr="000A7682">
        <w:t xml:space="preserve">. </w:t>
      </w:r>
    </w:p>
    <w:p w14:paraId="27A3CE7E" w14:textId="13F6DBC1" w:rsidR="00DE0D6A" w:rsidRPr="000A7682" w:rsidRDefault="00DE0D6A" w:rsidP="00AF2CC9">
      <w:pPr>
        <w:pStyle w:val="ListParagraph"/>
        <w:numPr>
          <w:ilvl w:val="0"/>
          <w:numId w:val="18"/>
        </w:numPr>
      </w:pPr>
      <w:r w:rsidRPr="000A7682">
        <w:t>Requests for payment must be accompanied by relevant evidence</w:t>
      </w:r>
      <w:r w:rsidR="001E7590" w:rsidRPr="000A7682">
        <w:t>.</w:t>
      </w:r>
    </w:p>
    <w:p w14:paraId="115B3D07" w14:textId="77777777" w:rsidR="006536EF" w:rsidRPr="000A7682" w:rsidRDefault="006536EF" w:rsidP="00AF2CC9">
      <w:pPr>
        <w:pStyle w:val="ListParagraph"/>
        <w:numPr>
          <w:ilvl w:val="0"/>
          <w:numId w:val="18"/>
        </w:numPr>
      </w:pPr>
      <w:r w:rsidRPr="000A7682">
        <w:t xml:space="preserve">Payments will not be made in advance of evidence to demonstrate learning activity has been undertaken. </w:t>
      </w:r>
    </w:p>
    <w:p w14:paraId="7D098A84" w14:textId="7BB83A22" w:rsidR="006536EF" w:rsidRPr="000A7682" w:rsidRDefault="00D2380A" w:rsidP="00AF2CC9">
      <w:pPr>
        <w:pStyle w:val="ListParagraph"/>
        <w:numPr>
          <w:ilvl w:val="0"/>
          <w:numId w:val="18"/>
        </w:numPr>
      </w:pPr>
      <w:r w:rsidRPr="000A7682">
        <w:t>Subcontractor</w:t>
      </w:r>
      <w:r w:rsidR="006536EF" w:rsidRPr="000A7682">
        <w:t xml:space="preserve">s will only be paid for the actual funding delivered. Any </w:t>
      </w:r>
      <w:r w:rsidR="001371B8" w:rsidRPr="000A7682">
        <w:t>di</w:t>
      </w:r>
      <w:r w:rsidR="006536EF" w:rsidRPr="000A7682">
        <w:t>fference between payments on account and actual funding will be subject to clawback.</w:t>
      </w:r>
    </w:p>
    <w:p w14:paraId="52357AD5" w14:textId="368EDA9D" w:rsidR="00DE0D6A" w:rsidRPr="000A7682" w:rsidRDefault="00DE0D6A" w:rsidP="00AF2CC9">
      <w:pPr>
        <w:pStyle w:val="ListParagraph"/>
        <w:numPr>
          <w:ilvl w:val="0"/>
          <w:numId w:val="18"/>
        </w:numPr>
      </w:pPr>
      <w:r w:rsidRPr="000A7682">
        <w:t xml:space="preserve">Achievement funding will be paid within 30 days of </w:t>
      </w:r>
      <w:r w:rsidR="00DA13CB" w:rsidRPr="000A7682">
        <w:t>the College</w:t>
      </w:r>
      <w:r w:rsidRPr="000A7682">
        <w:t xml:space="preserve"> receiving the funding amount.</w:t>
      </w:r>
    </w:p>
    <w:p w14:paraId="67AED78E" w14:textId="0D4ECE8E" w:rsidR="000A7682" w:rsidRPr="000A7682" w:rsidRDefault="00DA13CB" w:rsidP="00AF2CC9">
      <w:pPr>
        <w:pStyle w:val="ListParagraph"/>
        <w:numPr>
          <w:ilvl w:val="0"/>
          <w:numId w:val="18"/>
        </w:numPr>
      </w:pPr>
      <w:r w:rsidRPr="000A7682">
        <w:t>The College</w:t>
      </w:r>
      <w:r w:rsidR="00016804" w:rsidRPr="000A7682">
        <w:t xml:space="preserve"> will charge </w:t>
      </w:r>
      <w:r w:rsidR="0012176D" w:rsidRPr="000A7682">
        <w:t xml:space="preserve">up to </w:t>
      </w:r>
      <w:r w:rsidR="00C52A06" w:rsidRPr="000A7682">
        <w:t>20</w:t>
      </w:r>
      <w:r w:rsidR="00016804" w:rsidRPr="000A7682">
        <w:t>% of value of the activity. The exact fee will depend on the extent of the services provided.</w:t>
      </w:r>
    </w:p>
    <w:p w14:paraId="05B4971F" w14:textId="77777777" w:rsidR="0036751B" w:rsidRDefault="0036751B" w:rsidP="0036751B"/>
    <w:p w14:paraId="40C37E07" w14:textId="0FFA0593" w:rsidR="00016804" w:rsidRPr="000822F3" w:rsidRDefault="00016804" w:rsidP="00016804">
      <w:pPr>
        <w:pStyle w:val="Heading2"/>
      </w:pPr>
      <w:r w:rsidRPr="000822F3">
        <w:t>Data Protection</w:t>
      </w:r>
    </w:p>
    <w:p w14:paraId="7527F4CC" w14:textId="4800A282" w:rsidR="00036C0D" w:rsidRPr="000822F3" w:rsidRDefault="00495B3A" w:rsidP="00016804">
      <w:r w:rsidRPr="000822F3">
        <w:t>The</w:t>
      </w:r>
      <w:r w:rsidR="00016804" w:rsidRPr="000822F3">
        <w:t xml:space="preserve"> College and its </w:t>
      </w:r>
      <w:r w:rsidR="00BB30E2">
        <w:t>p</w:t>
      </w:r>
      <w:r w:rsidR="00016804" w:rsidRPr="000822F3">
        <w:t xml:space="preserve">artners need to comply with the </w:t>
      </w:r>
      <w:r w:rsidR="00DC5937" w:rsidRPr="000822F3">
        <w:t>Data Protection Act 2018 and the UK GDPR</w:t>
      </w:r>
      <w:r w:rsidR="00016804" w:rsidRPr="000822F3">
        <w:t xml:space="preserve">. </w:t>
      </w:r>
      <w:r w:rsidR="00F8350F" w:rsidRPr="000822F3">
        <w:t xml:space="preserve">As the lead organisation </w:t>
      </w:r>
      <w:r w:rsidRPr="000822F3">
        <w:t>the</w:t>
      </w:r>
      <w:r w:rsidR="00F8350F" w:rsidRPr="000822F3">
        <w:t xml:space="preserve"> College will act as the </w:t>
      </w:r>
      <w:r w:rsidR="00B75464" w:rsidRPr="000822F3">
        <w:t xml:space="preserve">main </w:t>
      </w:r>
      <w:r w:rsidR="00F8350F" w:rsidRPr="000822F3">
        <w:t>Data Controller.</w:t>
      </w:r>
      <w:r w:rsidR="00036C0D" w:rsidRPr="000822F3">
        <w:t xml:space="preserve">  The College acknowledges that the </w:t>
      </w:r>
      <w:r w:rsidR="00BB30E2">
        <w:t>P</w:t>
      </w:r>
      <w:r w:rsidR="00DD1D6A" w:rsidRPr="000822F3">
        <w:t>artner</w:t>
      </w:r>
      <w:r w:rsidR="00036C0D" w:rsidRPr="000822F3">
        <w:t xml:space="preserve"> may also be considered a Data Controller, therefore the </w:t>
      </w:r>
      <w:r w:rsidR="00B72382">
        <w:t>P</w:t>
      </w:r>
      <w:r w:rsidR="00DD1D6A" w:rsidRPr="000822F3">
        <w:t>artner</w:t>
      </w:r>
      <w:r w:rsidR="00036C0D" w:rsidRPr="000822F3">
        <w:t xml:space="preserve"> will </w:t>
      </w:r>
      <w:r w:rsidR="00DD1D6A" w:rsidRPr="000822F3">
        <w:t>need</w:t>
      </w:r>
      <w:r w:rsidR="00036C0D" w:rsidRPr="000822F3">
        <w:t xml:space="preserve"> to produce a privacy notice to share with all </w:t>
      </w:r>
      <w:r w:rsidR="00DD1D6A" w:rsidRPr="000822F3">
        <w:t>learners</w:t>
      </w:r>
      <w:r w:rsidR="00036C0D" w:rsidRPr="000822F3">
        <w:t>.</w:t>
      </w:r>
    </w:p>
    <w:p w14:paraId="2C299BCC" w14:textId="77777777" w:rsidR="00F8350F" w:rsidRPr="000822F3" w:rsidRDefault="00F8350F" w:rsidP="00016804"/>
    <w:p w14:paraId="6BC03DFB" w14:textId="77777777" w:rsidR="00887661" w:rsidRPr="000822F3" w:rsidRDefault="00F8350F" w:rsidP="00016804">
      <w:r w:rsidRPr="000822F3">
        <w:t xml:space="preserve">Each partner needs to ensure that transmission of personal data is undertaken on a secure basis. </w:t>
      </w:r>
    </w:p>
    <w:p w14:paraId="0A1EB1C8" w14:textId="77777777" w:rsidR="00887661" w:rsidRPr="000822F3" w:rsidRDefault="00887661" w:rsidP="00016804"/>
    <w:p w14:paraId="534AA19F" w14:textId="4916C8B5" w:rsidR="00016804" w:rsidRPr="000822F3" w:rsidRDefault="00F8350F" w:rsidP="00016804">
      <w:r w:rsidRPr="000822F3">
        <w:t xml:space="preserve">Any data breach must be reported to the College </w:t>
      </w:r>
      <w:r w:rsidR="00DC5937" w:rsidRPr="000822F3">
        <w:t>immediately on discovery</w:t>
      </w:r>
      <w:r w:rsidRPr="000822F3">
        <w:t xml:space="preserve">. </w:t>
      </w:r>
    </w:p>
    <w:p w14:paraId="08DBEDA0" w14:textId="2B463D47" w:rsidR="00F17C1E" w:rsidRDefault="00F17C1E" w:rsidP="003F1D03"/>
    <w:p w14:paraId="42B8DC95" w14:textId="77777777" w:rsidR="006B21D6" w:rsidRPr="00BC6F2A" w:rsidRDefault="006B21D6" w:rsidP="006B21D6">
      <w:pPr>
        <w:pStyle w:val="Heading2"/>
      </w:pPr>
      <w:r w:rsidRPr="00BC6F2A">
        <w:t>Safeguarding</w:t>
      </w:r>
    </w:p>
    <w:p w14:paraId="48F315C6" w14:textId="5604A656" w:rsidR="006B21D6" w:rsidRPr="00BC6F2A" w:rsidRDefault="006B21D6" w:rsidP="006B21D6">
      <w:r w:rsidRPr="00BC6F2A">
        <w:t xml:space="preserve">With regards to safeguarding, the </w:t>
      </w:r>
      <w:r w:rsidR="00B72382">
        <w:t>Partner</w:t>
      </w:r>
      <w:r w:rsidRPr="00BC6F2A">
        <w:t xml:space="preserve"> and relevant staff are responsible for:</w:t>
      </w:r>
    </w:p>
    <w:p w14:paraId="30971802" w14:textId="659B2575" w:rsidR="006B21D6" w:rsidRPr="000A7682" w:rsidRDefault="006B21D6" w:rsidP="00AF2CC9">
      <w:pPr>
        <w:pStyle w:val="ListParagraph"/>
        <w:numPr>
          <w:ilvl w:val="0"/>
          <w:numId w:val="19"/>
        </w:numPr>
      </w:pPr>
      <w:r w:rsidRPr="000A7682">
        <w:t>Agreeing to abide by College’s suite of safeguarding and prevent related policies and procedures including any amendments or updates made within the duration of the subcontract.</w:t>
      </w:r>
    </w:p>
    <w:p w14:paraId="2F80DEB7" w14:textId="5AA28168" w:rsidR="006B21D6" w:rsidRPr="000A7682" w:rsidRDefault="006B21D6" w:rsidP="00AF2CC9">
      <w:pPr>
        <w:pStyle w:val="ListParagraph"/>
        <w:numPr>
          <w:ilvl w:val="0"/>
          <w:numId w:val="19"/>
        </w:numPr>
      </w:pPr>
      <w:r w:rsidRPr="000A7682">
        <w:t>Participating in safeguarding training prior to commencing and any additional training requirements as directed by the College.</w:t>
      </w:r>
    </w:p>
    <w:p w14:paraId="7DECF216" w14:textId="211987ED" w:rsidR="006B21D6" w:rsidRPr="000A7682" w:rsidRDefault="006B21D6" w:rsidP="00AF2CC9">
      <w:pPr>
        <w:pStyle w:val="ListParagraph"/>
        <w:numPr>
          <w:ilvl w:val="0"/>
          <w:numId w:val="19"/>
        </w:numPr>
      </w:pPr>
      <w:r w:rsidRPr="000A7682">
        <w:lastRenderedPageBreak/>
        <w:t xml:space="preserve">Reporting through to the central safeguarding team in </w:t>
      </w:r>
      <w:r w:rsidR="001371B8" w:rsidRPr="000A7682">
        <w:t xml:space="preserve">the </w:t>
      </w:r>
      <w:r w:rsidRPr="000A7682">
        <w:t xml:space="preserve">College as per procedure, any safeguarding related cause for concerns, including the actions taken by the </w:t>
      </w:r>
      <w:r w:rsidR="000B102B">
        <w:t>Partner</w:t>
      </w:r>
      <w:r w:rsidRPr="000A7682">
        <w:t xml:space="preserve"> to support and safeguard the </w:t>
      </w:r>
      <w:r w:rsidR="000B102B">
        <w:t>learner</w:t>
      </w:r>
      <w:r w:rsidRPr="000A7682">
        <w:t>.</w:t>
      </w:r>
    </w:p>
    <w:p w14:paraId="06102D82" w14:textId="702EFC7E" w:rsidR="006B21D6" w:rsidRPr="000A7682" w:rsidRDefault="006B21D6" w:rsidP="00AF2CC9">
      <w:pPr>
        <w:pStyle w:val="ListParagraph"/>
        <w:numPr>
          <w:ilvl w:val="0"/>
          <w:numId w:val="19"/>
        </w:numPr>
      </w:pPr>
      <w:r w:rsidRPr="000A7682">
        <w:t xml:space="preserve">Notifying the central safeguarding team if any </w:t>
      </w:r>
      <w:r w:rsidR="000B102B">
        <w:t>learner</w:t>
      </w:r>
      <w:r w:rsidRPr="000A7682">
        <w:t xml:space="preserve"> is currently or has in the past worked with social care, </w:t>
      </w:r>
      <w:proofErr w:type="gramStart"/>
      <w:r w:rsidRPr="000A7682">
        <w:t>in particular if</w:t>
      </w:r>
      <w:proofErr w:type="gramEnd"/>
      <w:r w:rsidRPr="000A7682">
        <w:t xml:space="preserve"> they are a looked after child, on a child protection or child in need plan.  In addition, if an early help assessment is in place to support the </w:t>
      </w:r>
      <w:r w:rsidR="001239CE">
        <w:t>learner</w:t>
      </w:r>
      <w:r w:rsidRPr="000A7682">
        <w:t xml:space="preserve"> and wider family.</w:t>
      </w:r>
    </w:p>
    <w:p w14:paraId="35AE7CEA" w14:textId="7873AF55" w:rsidR="006B21D6" w:rsidRPr="000A7682" w:rsidRDefault="006B21D6" w:rsidP="00AF2CC9">
      <w:pPr>
        <w:pStyle w:val="ListParagraph"/>
        <w:numPr>
          <w:ilvl w:val="0"/>
          <w:numId w:val="19"/>
        </w:numPr>
      </w:pPr>
      <w:r w:rsidRPr="000A7682">
        <w:t xml:space="preserve">Notifying the central safeguarding team if a </w:t>
      </w:r>
      <w:r w:rsidR="001239CE">
        <w:t>learner</w:t>
      </w:r>
      <w:r w:rsidRPr="000A7682">
        <w:t xml:space="preserve"> declares a criminal conviction, as per procedure, to allow a risk assessment as appropriate, and a decision around risk management.</w:t>
      </w:r>
    </w:p>
    <w:p w14:paraId="70E57F27" w14:textId="6B2CF884" w:rsidR="006B21D6" w:rsidRPr="000A7682" w:rsidRDefault="006B21D6" w:rsidP="00AF2CC9">
      <w:pPr>
        <w:pStyle w:val="ListParagraph"/>
        <w:numPr>
          <w:ilvl w:val="0"/>
          <w:numId w:val="19"/>
        </w:numPr>
      </w:pPr>
      <w:r w:rsidRPr="000A7682">
        <w:t>The central safeguarding team and Human Resources department must be notified of relevant LADO and Person in Position of Trust (</w:t>
      </w:r>
      <w:proofErr w:type="spellStart"/>
      <w:r w:rsidRPr="000A7682">
        <w:t>PiPOT</w:t>
      </w:r>
      <w:proofErr w:type="spellEnd"/>
      <w:r w:rsidRPr="000A7682">
        <w:t xml:space="preserve">) enquiries, </w:t>
      </w:r>
      <w:r w:rsidR="00873836" w:rsidRPr="000A7682">
        <w:t>concerns,</w:t>
      </w:r>
      <w:r w:rsidRPr="000A7682">
        <w:t xml:space="preserve"> or referrals.</w:t>
      </w:r>
    </w:p>
    <w:p w14:paraId="40A98750" w14:textId="50BCCC60" w:rsidR="006B21D6" w:rsidRDefault="006B21D6" w:rsidP="00AF2CC9">
      <w:pPr>
        <w:pStyle w:val="ListParagraph"/>
        <w:numPr>
          <w:ilvl w:val="0"/>
          <w:numId w:val="19"/>
        </w:numPr>
      </w:pPr>
      <w:r w:rsidRPr="000A7682">
        <w:t xml:space="preserve">Informing the College of any external speakers invited in to speak to </w:t>
      </w:r>
      <w:r w:rsidR="001239CE">
        <w:t>learners</w:t>
      </w:r>
      <w:r w:rsidRPr="000A7682">
        <w:t xml:space="preserve">, completing the necessary paperwork, and in liaison with </w:t>
      </w:r>
      <w:r w:rsidR="00873836" w:rsidRPr="000A7682">
        <w:t xml:space="preserve">the </w:t>
      </w:r>
      <w:r w:rsidRPr="000A7682">
        <w:t>College reaching an agreement on inviting the individual/organisation in.</w:t>
      </w:r>
    </w:p>
    <w:p w14:paraId="08B26646" w14:textId="77777777" w:rsidR="000A7682" w:rsidRPr="000A7682" w:rsidRDefault="000A7682" w:rsidP="000A7682"/>
    <w:p w14:paraId="03BD93A9" w14:textId="77777777" w:rsidR="00FD18AC" w:rsidRPr="00FD18AC" w:rsidRDefault="00FD18AC" w:rsidP="00FD18AC">
      <w:pPr>
        <w:pStyle w:val="Heading2"/>
      </w:pPr>
      <w:r w:rsidRPr="00FD18AC">
        <w:t>Contract Changes</w:t>
      </w:r>
    </w:p>
    <w:p w14:paraId="1AD67A16" w14:textId="1EAAD4D5" w:rsidR="00FD18AC" w:rsidRPr="00FD18AC" w:rsidRDefault="00FD18AC" w:rsidP="00FD18AC">
      <w:r w:rsidRPr="00FD18AC">
        <w:t xml:space="preserve">Any changes in the contract value may be made, with approval </w:t>
      </w:r>
      <w:r w:rsidR="00873836" w:rsidRPr="00FD18AC">
        <w:t xml:space="preserve">from the </w:t>
      </w:r>
      <w:r w:rsidR="008B44B5" w:rsidRPr="008B44B5">
        <w:t>Vice Principal Partnerships &amp; Growth</w:t>
      </w:r>
      <w:r w:rsidR="00672EF9">
        <w:t xml:space="preserve"> </w:t>
      </w:r>
      <w:r w:rsidRPr="00FD18AC">
        <w:t xml:space="preserve">to the extent that the total contract award for that </w:t>
      </w:r>
      <w:r w:rsidR="001239CE">
        <w:t>Partner</w:t>
      </w:r>
      <w:r w:rsidRPr="00FD18AC">
        <w:t xml:space="preserve"> does not exceed the amount approved by Governors through the budgeting process, or through any subsequent approved amendments. Any proposed increases to contract values above amounts already approved must be approved by the Governors.</w:t>
      </w:r>
    </w:p>
    <w:p w14:paraId="3116609B" w14:textId="77777777" w:rsidR="00FD18AC" w:rsidRPr="00FD18AC" w:rsidRDefault="00FD18AC" w:rsidP="00FD18AC"/>
    <w:p w14:paraId="4284E024" w14:textId="1EAF214E" w:rsidR="00FD18AC" w:rsidRPr="00FD18AC" w:rsidRDefault="00FD18AC" w:rsidP="00FD18AC">
      <w:r w:rsidRPr="00FD18AC">
        <w:t xml:space="preserve">Changes in contract values will be submitted to the Governors for </w:t>
      </w:r>
      <w:r w:rsidR="00994C27" w:rsidRPr="00FD18AC">
        <w:t>approval once</w:t>
      </w:r>
      <w:r w:rsidRPr="00FD18AC">
        <w:t xml:space="preserve"> approved contract addendums will be put into place and must be signed by both parties.</w:t>
      </w:r>
    </w:p>
    <w:p w14:paraId="7E97AA01" w14:textId="77777777" w:rsidR="00FD18AC" w:rsidRPr="00FD18AC" w:rsidRDefault="00FD18AC" w:rsidP="00FD18AC"/>
    <w:p w14:paraId="6EBD9F53" w14:textId="7FE79F08" w:rsidR="000C538B" w:rsidRPr="000822F3" w:rsidRDefault="000C538B" w:rsidP="000C538B">
      <w:pPr>
        <w:pStyle w:val="Heading2"/>
      </w:pPr>
      <w:r w:rsidRPr="000822F3">
        <w:t>Contingency Plans</w:t>
      </w:r>
    </w:p>
    <w:p w14:paraId="7E3FE65C" w14:textId="77777777" w:rsidR="00C64FCB" w:rsidRPr="000822F3" w:rsidRDefault="000C538B" w:rsidP="000C538B">
      <w:r w:rsidRPr="000822F3">
        <w:t xml:space="preserve">A contingency plan safeguards learners </w:t>
      </w:r>
      <w:proofErr w:type="gramStart"/>
      <w:r w:rsidRPr="000822F3">
        <w:t>in the event that</w:t>
      </w:r>
      <w:proofErr w:type="gramEnd"/>
      <w:r w:rsidRPr="000822F3">
        <w:t xml:space="preserve"> a Partner withdraws from the arrangement or goes into liquidation or administration.</w:t>
      </w:r>
      <w:r w:rsidR="00C64FCB" w:rsidRPr="000822F3">
        <w:t xml:space="preserve">  </w:t>
      </w:r>
    </w:p>
    <w:p w14:paraId="60178C8C" w14:textId="5CC2AE58" w:rsidR="000C538B" w:rsidRPr="000822F3" w:rsidRDefault="00C64FCB" w:rsidP="000C538B">
      <w:r w:rsidRPr="000822F3">
        <w:t xml:space="preserve">The Colleges contingency plan is outlined in Appendix </w:t>
      </w:r>
      <w:r w:rsidR="00D56DEB" w:rsidRPr="000822F3">
        <w:t>2</w:t>
      </w:r>
      <w:r w:rsidRPr="000822F3">
        <w:t>.</w:t>
      </w:r>
    </w:p>
    <w:p w14:paraId="7AB6C6C9" w14:textId="77777777" w:rsidR="000C538B" w:rsidRDefault="000C538B" w:rsidP="000C538B"/>
    <w:p w14:paraId="660FCEE3" w14:textId="77777777" w:rsidR="0028447E" w:rsidRDefault="0028447E" w:rsidP="0028447E">
      <w:pPr>
        <w:pStyle w:val="Heading2"/>
      </w:pPr>
      <w:r>
        <w:t>Publishing Funding Data</w:t>
      </w:r>
    </w:p>
    <w:p w14:paraId="486DB9FA" w14:textId="6E6C3021" w:rsidR="00BB66BE" w:rsidRDefault="00BB66BE" w:rsidP="00BB66BE">
      <w:r w:rsidRPr="000822F3">
        <w:t xml:space="preserve">The College will declare all subcontracting activity </w:t>
      </w:r>
      <w:r w:rsidR="0025687C">
        <w:t>as required to DfE and</w:t>
      </w:r>
      <w:r w:rsidR="00677733">
        <w:t>/or</w:t>
      </w:r>
      <w:r w:rsidR="0025687C">
        <w:t xml:space="preserve"> </w:t>
      </w:r>
      <w:r w:rsidR="00677733" w:rsidRPr="00873F9E">
        <w:t>the relevant Combined Authority</w:t>
      </w:r>
      <w:r w:rsidRPr="000822F3">
        <w:t>.</w:t>
      </w:r>
    </w:p>
    <w:p w14:paraId="274376B4" w14:textId="77777777" w:rsidR="00BB66BE" w:rsidRDefault="00BB66BE" w:rsidP="0028447E"/>
    <w:p w14:paraId="049549C8" w14:textId="07DA7376" w:rsidR="003F0E42" w:rsidRDefault="0028447E" w:rsidP="0028447E">
      <w:r>
        <w:t xml:space="preserve">For all contracts, data regarding the actual level of funding paid and retained for each </w:t>
      </w:r>
      <w:r w:rsidR="003C586C">
        <w:t>Partner</w:t>
      </w:r>
      <w:r>
        <w:t xml:space="preserve"> will be published within 30 days of the </w:t>
      </w:r>
      <w:r w:rsidR="00EA101C">
        <w:t xml:space="preserve">academic years </w:t>
      </w:r>
      <w:r>
        <w:t>ILR closing. Publication</w:t>
      </w:r>
      <w:r w:rsidR="00DA55CD">
        <w:t xml:space="preserve"> </w:t>
      </w:r>
      <w:r>
        <w:t>requirements for other activity will be made in line with contractual terms.</w:t>
      </w:r>
    </w:p>
    <w:p w14:paraId="19A85CDD" w14:textId="77777777" w:rsidR="0028447E" w:rsidRPr="000822F3" w:rsidRDefault="0028447E" w:rsidP="0028447E"/>
    <w:p w14:paraId="45754608" w14:textId="77777777" w:rsidR="001E6717" w:rsidRPr="000822F3" w:rsidRDefault="001E6717" w:rsidP="001E6717">
      <w:pPr>
        <w:pStyle w:val="Heading2"/>
      </w:pPr>
      <w:r w:rsidRPr="000822F3">
        <w:t>Termination</w:t>
      </w:r>
    </w:p>
    <w:p w14:paraId="3F0C74FA" w14:textId="7BE8DC55" w:rsidR="001E6717" w:rsidRPr="000822F3" w:rsidRDefault="00DA13CB" w:rsidP="001E6717">
      <w:r>
        <w:t>The College</w:t>
      </w:r>
      <w:r w:rsidR="001E6717" w:rsidRPr="000822F3">
        <w:t xml:space="preserve"> will terminate the contract early in the following circumstances:</w:t>
      </w:r>
    </w:p>
    <w:p w14:paraId="5BF06D04" w14:textId="01E48D48" w:rsidR="001E6717" w:rsidRPr="000A7682" w:rsidRDefault="001E6717" w:rsidP="00AF2CC9">
      <w:pPr>
        <w:pStyle w:val="ListParagraph"/>
        <w:numPr>
          <w:ilvl w:val="0"/>
          <w:numId w:val="11"/>
        </w:numPr>
      </w:pPr>
      <w:r w:rsidRPr="000A7682">
        <w:t xml:space="preserve">When the </w:t>
      </w:r>
      <w:r w:rsidR="00C51C8F">
        <w:t>P</w:t>
      </w:r>
      <w:r w:rsidRPr="000A7682">
        <w:t>artner ceases trading</w:t>
      </w:r>
      <w:r w:rsidR="000A7682">
        <w:t>.</w:t>
      </w:r>
    </w:p>
    <w:p w14:paraId="31931642" w14:textId="5843537E" w:rsidR="001E6717" w:rsidRPr="000A7682" w:rsidRDefault="001E6717" w:rsidP="00AF2CC9">
      <w:pPr>
        <w:pStyle w:val="ListParagraph"/>
        <w:numPr>
          <w:ilvl w:val="0"/>
          <w:numId w:val="11"/>
        </w:numPr>
      </w:pPr>
      <w:r w:rsidRPr="000A7682">
        <w:t xml:space="preserve">When the </w:t>
      </w:r>
      <w:r w:rsidR="00C51C8F">
        <w:t>P</w:t>
      </w:r>
      <w:r w:rsidRPr="000A7682">
        <w:t>artner is delivering provision outside the scope of the contract</w:t>
      </w:r>
      <w:r w:rsidR="000A7682">
        <w:t>.</w:t>
      </w:r>
    </w:p>
    <w:p w14:paraId="72C9B9B7" w14:textId="1D4DA7A5" w:rsidR="001E6717" w:rsidRPr="000A7682" w:rsidRDefault="001E6717" w:rsidP="00AF2CC9">
      <w:pPr>
        <w:pStyle w:val="ListParagraph"/>
        <w:numPr>
          <w:ilvl w:val="0"/>
          <w:numId w:val="11"/>
        </w:numPr>
      </w:pPr>
      <w:r w:rsidRPr="000A7682">
        <w:t xml:space="preserve">Where </w:t>
      </w:r>
      <w:r w:rsidR="00DA13CB" w:rsidRPr="000A7682">
        <w:t>the College</w:t>
      </w:r>
      <w:r w:rsidRPr="000A7682">
        <w:t xml:space="preserve"> has reasonable grounds to believe that the </w:t>
      </w:r>
      <w:r w:rsidR="00C51C8F">
        <w:t>P</w:t>
      </w:r>
      <w:r w:rsidRPr="000A7682">
        <w:t>artner is promoting activities that run counter to the P</w:t>
      </w:r>
      <w:r w:rsidR="00475874" w:rsidRPr="000A7682">
        <w:t>revent</w:t>
      </w:r>
      <w:r w:rsidRPr="000A7682">
        <w:t xml:space="preserve">, FGM and Safeguarding agenda. </w:t>
      </w:r>
    </w:p>
    <w:p w14:paraId="3FE69638" w14:textId="0B416B0D" w:rsidR="001E6717" w:rsidRPr="000A7682" w:rsidRDefault="001E6717" w:rsidP="00AF2CC9">
      <w:pPr>
        <w:pStyle w:val="ListParagraph"/>
        <w:numPr>
          <w:ilvl w:val="0"/>
          <w:numId w:val="11"/>
        </w:numPr>
      </w:pPr>
      <w:r w:rsidRPr="000A7682">
        <w:t xml:space="preserve">Where </w:t>
      </w:r>
      <w:r w:rsidR="00DA13CB" w:rsidRPr="000A7682">
        <w:t>the College</w:t>
      </w:r>
      <w:r w:rsidRPr="000A7682">
        <w:t xml:space="preserve"> has concerns about the quality of delivery. </w:t>
      </w:r>
    </w:p>
    <w:p w14:paraId="15F2CD61" w14:textId="7665A42F" w:rsidR="005D3711" w:rsidRPr="000A7682" w:rsidRDefault="003C0BD9" w:rsidP="00AF2CC9">
      <w:pPr>
        <w:pStyle w:val="ListParagraph"/>
        <w:numPr>
          <w:ilvl w:val="0"/>
          <w:numId w:val="11"/>
        </w:numPr>
      </w:pPr>
      <w:r w:rsidRPr="000A7682">
        <w:t xml:space="preserve">Where </w:t>
      </w:r>
      <w:r w:rsidR="00DA13CB" w:rsidRPr="000A7682">
        <w:t>the College</w:t>
      </w:r>
      <w:r w:rsidR="000D75D1" w:rsidRPr="000A7682">
        <w:t xml:space="preserve"> has concerns that the </w:t>
      </w:r>
      <w:r w:rsidR="00C51C8F">
        <w:t>P</w:t>
      </w:r>
      <w:r w:rsidR="0053101E" w:rsidRPr="000A7682">
        <w:t>artner</w:t>
      </w:r>
      <w:r w:rsidR="00227F42" w:rsidRPr="000A7682">
        <w:t>s</w:t>
      </w:r>
      <w:r w:rsidR="0053101E" w:rsidRPr="000A7682">
        <w:t xml:space="preserve"> </w:t>
      </w:r>
      <w:r w:rsidR="00227F42" w:rsidRPr="000A7682">
        <w:t>actions co</w:t>
      </w:r>
      <w:r w:rsidR="00502C99" w:rsidRPr="000A7682">
        <w:t xml:space="preserve">nflict with </w:t>
      </w:r>
      <w:r w:rsidR="00DA13CB" w:rsidRPr="000A7682">
        <w:t>the College</w:t>
      </w:r>
      <w:r w:rsidR="006B21D6" w:rsidRPr="000A7682">
        <w:t xml:space="preserve"> </w:t>
      </w:r>
      <w:r w:rsidR="00502C99" w:rsidRPr="000A7682">
        <w:t>values</w:t>
      </w:r>
      <w:r w:rsidR="005D3711" w:rsidRPr="000A7682">
        <w:t>.</w:t>
      </w:r>
    </w:p>
    <w:p w14:paraId="1AA4F5C5" w14:textId="77777777" w:rsidR="001E6717" w:rsidRPr="000822F3" w:rsidRDefault="001E6717" w:rsidP="003F1D03"/>
    <w:p w14:paraId="7837D5E2" w14:textId="77777777" w:rsidR="009D1F31" w:rsidRPr="000822F3" w:rsidRDefault="00497661" w:rsidP="003F1D03">
      <w:pPr>
        <w:pStyle w:val="Heading1"/>
        <w:rPr>
          <w:rFonts w:eastAsia="Times New Roman"/>
        </w:rPr>
      </w:pPr>
      <w:r w:rsidRPr="000822F3">
        <w:rPr>
          <w:rFonts w:eastAsia="Times New Roman"/>
        </w:rPr>
        <w:t>EQUALITY AND DIVERSITY</w:t>
      </w:r>
    </w:p>
    <w:p w14:paraId="1115393D" w14:textId="5992425F" w:rsidR="009D1F31" w:rsidRPr="000822F3" w:rsidRDefault="00F17C1E" w:rsidP="003F1D03">
      <w:pPr>
        <w:rPr>
          <w:rFonts w:cs="Arial"/>
        </w:rPr>
      </w:pPr>
      <w:r w:rsidRPr="000822F3">
        <w:rPr>
          <w:rFonts w:cs="Arial"/>
        </w:rPr>
        <w:t xml:space="preserve">An </w:t>
      </w:r>
      <w:proofErr w:type="spellStart"/>
      <w:r w:rsidRPr="000822F3">
        <w:rPr>
          <w:rFonts w:cs="Arial"/>
        </w:rPr>
        <w:t>EqIA</w:t>
      </w:r>
      <w:proofErr w:type="spellEnd"/>
      <w:r w:rsidRPr="000822F3">
        <w:rPr>
          <w:rFonts w:cs="Arial"/>
        </w:rPr>
        <w:t xml:space="preserve"> is not required for this policy.</w:t>
      </w:r>
    </w:p>
    <w:p w14:paraId="5B0925C7" w14:textId="08FB3962" w:rsidR="005F3A28" w:rsidRPr="000822F3" w:rsidRDefault="005F3A28" w:rsidP="003F1D03">
      <w:pPr>
        <w:rPr>
          <w:rFonts w:cs="Arial"/>
        </w:rPr>
      </w:pPr>
    </w:p>
    <w:p w14:paraId="6BBDDBA1" w14:textId="77777777" w:rsidR="00497661" w:rsidRPr="000822F3" w:rsidRDefault="00497661" w:rsidP="003F1D03">
      <w:pPr>
        <w:pStyle w:val="Heading1"/>
        <w:rPr>
          <w:rFonts w:eastAsia="Times New Roman"/>
        </w:rPr>
      </w:pPr>
      <w:r w:rsidRPr="000822F3">
        <w:rPr>
          <w:rFonts w:eastAsia="Times New Roman"/>
        </w:rPr>
        <w:lastRenderedPageBreak/>
        <w:t>LINKED POLICIES AND PROCEDURES</w:t>
      </w:r>
    </w:p>
    <w:p w14:paraId="4E31F939" w14:textId="27E41336" w:rsidR="00D56DEB" w:rsidRPr="000822F3" w:rsidRDefault="00D56DEB" w:rsidP="00D56DEB">
      <w:pPr>
        <w:rPr>
          <w:rFonts w:eastAsia="Times New Roman" w:cs="Times New Roman"/>
        </w:rPr>
      </w:pPr>
      <w:r w:rsidRPr="000822F3">
        <w:rPr>
          <w:rFonts w:eastAsia="Times New Roman" w:cs="Times New Roman"/>
        </w:rPr>
        <w:t>Appendix 1 – Subcontracting Standard</w:t>
      </w:r>
    </w:p>
    <w:p w14:paraId="1EFC2F77" w14:textId="1EF2A8C6" w:rsidR="003D4AE2" w:rsidRDefault="003A40F4" w:rsidP="003D4AE2">
      <w:pPr>
        <w:rPr>
          <w:rFonts w:eastAsia="Times New Roman" w:cs="Times New Roman"/>
        </w:rPr>
      </w:pPr>
      <w:r w:rsidRPr="000822F3">
        <w:rPr>
          <w:rFonts w:eastAsia="Times New Roman" w:cs="Times New Roman"/>
        </w:rPr>
        <w:t xml:space="preserve">Appendix </w:t>
      </w:r>
      <w:r w:rsidR="00D56DEB" w:rsidRPr="000822F3">
        <w:rPr>
          <w:rFonts w:eastAsia="Times New Roman" w:cs="Times New Roman"/>
        </w:rPr>
        <w:t>2</w:t>
      </w:r>
      <w:r w:rsidRPr="000822F3">
        <w:rPr>
          <w:rFonts w:eastAsia="Times New Roman" w:cs="Times New Roman"/>
        </w:rPr>
        <w:t xml:space="preserve"> – Subcontracting Contingency Plan</w:t>
      </w:r>
    </w:p>
    <w:p w14:paraId="4CC313A5" w14:textId="7E2E8C07" w:rsidR="00F85C8A" w:rsidRPr="000822F3" w:rsidRDefault="00F85C8A" w:rsidP="003D4AE2">
      <w:pPr>
        <w:rPr>
          <w:rFonts w:eastAsia="Times New Roman" w:cs="Times New Roman"/>
        </w:rPr>
      </w:pPr>
      <w:r w:rsidRPr="00F85C8A">
        <w:rPr>
          <w:rFonts w:eastAsia="Times New Roman" w:cs="Times New Roman"/>
        </w:rPr>
        <w:t xml:space="preserve">Appendix 3 </w:t>
      </w:r>
      <w:r>
        <w:rPr>
          <w:rFonts w:eastAsia="Times New Roman" w:cs="Times New Roman"/>
        </w:rPr>
        <w:t xml:space="preserve">- </w:t>
      </w:r>
      <w:r w:rsidRPr="00F85C8A">
        <w:rPr>
          <w:rFonts w:eastAsia="Times New Roman" w:cs="Times New Roman"/>
        </w:rPr>
        <w:t>Subcontracting Responsibilities</w:t>
      </w:r>
    </w:p>
    <w:p w14:paraId="56224756" w14:textId="77777777" w:rsidR="003A40F4" w:rsidRPr="000822F3" w:rsidRDefault="003A40F4" w:rsidP="003D4AE2">
      <w:pPr>
        <w:rPr>
          <w:rFonts w:eastAsia="Times New Roman" w:cs="Times New Roman"/>
        </w:rPr>
      </w:pPr>
    </w:p>
    <w:p w14:paraId="143C9CBC" w14:textId="77777777" w:rsidR="009D1F31" w:rsidRPr="000822F3" w:rsidRDefault="00497661" w:rsidP="003D4AE2">
      <w:pPr>
        <w:pStyle w:val="Heading1"/>
        <w:rPr>
          <w:rFonts w:eastAsia="Times New Roman"/>
        </w:rPr>
      </w:pPr>
      <w:r w:rsidRPr="000822F3">
        <w:rPr>
          <w:rFonts w:eastAsia="Times New Roman"/>
        </w:rPr>
        <w:t>LOCATION AND ACCESS TO THIS POLICY</w:t>
      </w:r>
    </w:p>
    <w:p w14:paraId="745598CF" w14:textId="53ADC188" w:rsidR="00686E93" w:rsidRPr="000822F3" w:rsidRDefault="00F17C1E" w:rsidP="00686E93">
      <w:pPr>
        <w:rPr>
          <w:rFonts w:cs="Arial"/>
        </w:rPr>
      </w:pPr>
      <w:r w:rsidRPr="000822F3">
        <w:rPr>
          <w:rFonts w:cs="Arial"/>
        </w:rPr>
        <w:t xml:space="preserve">This policy is available on </w:t>
      </w:r>
      <w:r w:rsidR="00DA13CB">
        <w:rPr>
          <w:rFonts w:cs="Arial"/>
        </w:rPr>
        <w:t>the College</w:t>
      </w:r>
      <w:r w:rsidRPr="000822F3">
        <w:rPr>
          <w:rFonts w:cs="Arial"/>
        </w:rPr>
        <w:t>’s intranet.</w:t>
      </w:r>
    </w:p>
    <w:p w14:paraId="66DEA425" w14:textId="2BBBD0F6" w:rsidR="00414A9D" w:rsidRPr="000822F3" w:rsidRDefault="00414A9D">
      <w:pPr>
        <w:spacing w:after="200"/>
        <w:rPr>
          <w:rFonts w:cs="Arial"/>
        </w:rPr>
      </w:pPr>
      <w:r w:rsidRPr="000822F3">
        <w:rPr>
          <w:rFonts w:cs="Arial"/>
        </w:rPr>
        <w:br w:type="page"/>
      </w:r>
    </w:p>
    <w:p w14:paraId="5F4C3F56" w14:textId="1B3E1537" w:rsidR="00E3065D" w:rsidRPr="000822F3" w:rsidRDefault="00414A9D" w:rsidP="00201AD9">
      <w:pPr>
        <w:pStyle w:val="Heading1"/>
      </w:pPr>
      <w:r w:rsidRPr="000822F3">
        <w:lastRenderedPageBreak/>
        <w:t xml:space="preserve">Appendix </w:t>
      </w:r>
      <w:r w:rsidR="00B32530" w:rsidRPr="000822F3">
        <w:t xml:space="preserve">1 – Subcontracting </w:t>
      </w:r>
      <w:r w:rsidR="00AF0FB4" w:rsidRPr="000822F3">
        <w:t>standard</w:t>
      </w:r>
    </w:p>
    <w:p w14:paraId="61A6FB0F" w14:textId="00AA0921" w:rsidR="00B32530" w:rsidRDefault="00B32530" w:rsidP="00B32530"/>
    <w:p w14:paraId="4A979183" w14:textId="77777777" w:rsidR="000846E8" w:rsidRPr="00726BFA" w:rsidRDefault="000846E8" w:rsidP="00CB4A52">
      <w:pPr>
        <w:pStyle w:val="Heading2"/>
        <w:numPr>
          <w:ilvl w:val="0"/>
          <w:numId w:val="53"/>
        </w:numPr>
        <w:rPr>
          <w:b w:val="0"/>
          <w:bCs w:val="0"/>
          <w:szCs w:val="22"/>
        </w:rPr>
      </w:pPr>
      <w:r>
        <w:rPr>
          <w:szCs w:val="22"/>
        </w:rPr>
        <w:t>Pre-award Activities</w:t>
      </w:r>
    </w:p>
    <w:p w14:paraId="6EAFB054" w14:textId="77777777" w:rsidR="000846E8" w:rsidRPr="00F82940" w:rsidRDefault="000846E8" w:rsidP="000846E8">
      <w:r w:rsidRPr="00F82940">
        <w:t>Before you enter a subcontract arrangement you must be able to demonstrate the following:</w:t>
      </w:r>
    </w:p>
    <w:p w14:paraId="650C76C2" w14:textId="77777777" w:rsidR="000846E8" w:rsidRPr="00F82940" w:rsidRDefault="000846E8" w:rsidP="00AF2CC9">
      <w:pPr>
        <w:pStyle w:val="ListParagraph"/>
        <w:widowControl w:val="0"/>
        <w:numPr>
          <w:ilvl w:val="0"/>
          <w:numId w:val="23"/>
        </w:numPr>
        <w:autoSpaceDE w:val="0"/>
        <w:autoSpaceDN w:val="0"/>
        <w:spacing w:before="120"/>
        <w:contextualSpacing w:val="0"/>
      </w:pPr>
      <w:r w:rsidRPr="00F82940">
        <w:t>There is a clear educational rationale or business case for subcontracting which aligns to the provider’s corporate and operational strategies. The business case should:</w:t>
      </w:r>
    </w:p>
    <w:p w14:paraId="2A34CE37" w14:textId="77777777" w:rsidR="000846E8" w:rsidRPr="005E63B5" w:rsidRDefault="000846E8" w:rsidP="00AF2CC9">
      <w:pPr>
        <w:pStyle w:val="ListParagraph"/>
        <w:widowControl w:val="0"/>
        <w:numPr>
          <w:ilvl w:val="0"/>
          <w:numId w:val="24"/>
        </w:numPr>
        <w:autoSpaceDE w:val="0"/>
        <w:autoSpaceDN w:val="0"/>
        <w:spacing w:before="120"/>
        <w:contextualSpacing w:val="0"/>
      </w:pPr>
      <w:r w:rsidRPr="005E63B5">
        <w:t>set out the policy, business and operational objectives including consultation with stakeholders and undertaking research to determine the education rationale – this rationale must consider the expectation DfE has for providers to reduce their subcontracted provision</w:t>
      </w:r>
    </w:p>
    <w:p w14:paraId="46D7D05F" w14:textId="77777777" w:rsidR="000846E8" w:rsidRPr="005E63B5" w:rsidRDefault="000846E8" w:rsidP="00AF2CC9">
      <w:pPr>
        <w:pStyle w:val="ListParagraph"/>
        <w:widowControl w:val="0"/>
        <w:numPr>
          <w:ilvl w:val="0"/>
          <w:numId w:val="24"/>
        </w:numPr>
        <w:autoSpaceDE w:val="0"/>
        <w:autoSpaceDN w:val="0"/>
        <w:spacing w:before="120"/>
        <w:contextualSpacing w:val="0"/>
      </w:pPr>
      <w:r w:rsidRPr="005E63B5">
        <w:t>be presented and approved at executive or board level for sign off</w:t>
      </w:r>
    </w:p>
    <w:p w14:paraId="6061B5C9" w14:textId="77777777" w:rsidR="000846E8" w:rsidRPr="005E63B5" w:rsidRDefault="000846E8" w:rsidP="00AF2CC9">
      <w:pPr>
        <w:pStyle w:val="ListParagraph"/>
        <w:widowControl w:val="0"/>
        <w:numPr>
          <w:ilvl w:val="0"/>
          <w:numId w:val="23"/>
        </w:numPr>
        <w:autoSpaceDE w:val="0"/>
        <w:autoSpaceDN w:val="0"/>
        <w:spacing w:before="120"/>
        <w:contextualSpacing w:val="0"/>
      </w:pPr>
      <w:r w:rsidRPr="005E63B5">
        <w:t>The education rationale meets one or more of the following aims:</w:t>
      </w:r>
    </w:p>
    <w:p w14:paraId="1F87C1BA" w14:textId="77777777" w:rsidR="000846E8" w:rsidRPr="002C1805" w:rsidRDefault="000846E8" w:rsidP="00AF2CC9">
      <w:pPr>
        <w:pStyle w:val="ListParagraph"/>
        <w:widowControl w:val="0"/>
        <w:numPr>
          <w:ilvl w:val="0"/>
          <w:numId w:val="25"/>
        </w:numPr>
        <w:autoSpaceDE w:val="0"/>
        <w:autoSpaceDN w:val="0"/>
        <w:spacing w:before="120"/>
        <w:contextualSpacing w:val="0"/>
      </w:pPr>
      <w:r w:rsidRPr="002C1805">
        <w:t>enhances the opportunities available for learners</w:t>
      </w:r>
    </w:p>
    <w:p w14:paraId="361FD104" w14:textId="77777777" w:rsidR="000846E8" w:rsidRPr="002C1805" w:rsidRDefault="000846E8" w:rsidP="00AF2CC9">
      <w:pPr>
        <w:pStyle w:val="ListParagraph"/>
        <w:widowControl w:val="0"/>
        <w:numPr>
          <w:ilvl w:val="0"/>
          <w:numId w:val="25"/>
        </w:numPr>
        <w:autoSpaceDE w:val="0"/>
        <w:autoSpaceDN w:val="0"/>
        <w:spacing w:before="120"/>
        <w:contextualSpacing w:val="0"/>
      </w:pPr>
      <w:r w:rsidRPr="002C1805">
        <w:t>fills gaps in niche or expert provision or provides better access to training facilities</w:t>
      </w:r>
    </w:p>
    <w:p w14:paraId="7DA25520" w14:textId="77777777" w:rsidR="000846E8" w:rsidRPr="002C1805" w:rsidRDefault="000846E8" w:rsidP="00AF2CC9">
      <w:pPr>
        <w:pStyle w:val="ListParagraph"/>
        <w:widowControl w:val="0"/>
        <w:numPr>
          <w:ilvl w:val="0"/>
          <w:numId w:val="25"/>
        </w:numPr>
        <w:autoSpaceDE w:val="0"/>
        <w:autoSpaceDN w:val="0"/>
        <w:spacing w:before="120"/>
        <w:contextualSpacing w:val="0"/>
      </w:pPr>
      <w:r w:rsidRPr="002C1805">
        <w:t>supports better geographical access for learners</w:t>
      </w:r>
    </w:p>
    <w:p w14:paraId="57A8A230" w14:textId="77777777" w:rsidR="000846E8" w:rsidRPr="002C1805" w:rsidRDefault="000846E8" w:rsidP="00AF2CC9">
      <w:pPr>
        <w:pStyle w:val="ListParagraph"/>
        <w:widowControl w:val="0"/>
        <w:numPr>
          <w:ilvl w:val="0"/>
          <w:numId w:val="25"/>
        </w:numPr>
        <w:autoSpaceDE w:val="0"/>
        <w:autoSpaceDN w:val="0"/>
        <w:spacing w:before="120"/>
        <w:contextualSpacing w:val="0"/>
      </w:pPr>
      <w:r w:rsidRPr="002C1805">
        <w:t>offers an entry point for disadvantaged groups, or considers the impact on individuals with shared protected characteristics, where there might otherwise be gaps</w:t>
      </w:r>
    </w:p>
    <w:p w14:paraId="7B62E520" w14:textId="77777777" w:rsidR="000846E8" w:rsidRPr="005E63B5" w:rsidRDefault="000846E8" w:rsidP="00AF2CC9">
      <w:pPr>
        <w:pStyle w:val="ListParagraph"/>
        <w:widowControl w:val="0"/>
        <w:numPr>
          <w:ilvl w:val="0"/>
          <w:numId w:val="23"/>
        </w:numPr>
        <w:autoSpaceDE w:val="0"/>
        <w:autoSpaceDN w:val="0"/>
        <w:spacing w:before="120"/>
        <w:contextualSpacing w:val="0"/>
      </w:pPr>
      <w:r w:rsidRPr="005E63B5">
        <w:t>The drafting process for the specification and requirements ensures the overall scope documented as part of the educational rationale or business strategy is broken down into more detail. This ensures that the:</w:t>
      </w:r>
    </w:p>
    <w:p w14:paraId="1BFCE6BA" w14:textId="77777777" w:rsidR="000846E8" w:rsidRPr="002C1805" w:rsidRDefault="000846E8" w:rsidP="00AF2CC9">
      <w:pPr>
        <w:pStyle w:val="ListParagraph"/>
        <w:widowControl w:val="0"/>
        <w:numPr>
          <w:ilvl w:val="0"/>
          <w:numId w:val="26"/>
        </w:numPr>
        <w:autoSpaceDE w:val="0"/>
        <w:autoSpaceDN w:val="0"/>
        <w:spacing w:before="120"/>
        <w:contextualSpacing w:val="0"/>
      </w:pPr>
      <w:r w:rsidRPr="002C1805">
        <w:t>objectives for subcontracting will be met</w:t>
      </w:r>
    </w:p>
    <w:p w14:paraId="502C28D7" w14:textId="77777777" w:rsidR="000846E8" w:rsidRPr="002C1805" w:rsidRDefault="000846E8" w:rsidP="00AF2CC9">
      <w:pPr>
        <w:pStyle w:val="ListParagraph"/>
        <w:widowControl w:val="0"/>
        <w:numPr>
          <w:ilvl w:val="0"/>
          <w:numId w:val="26"/>
        </w:numPr>
        <w:autoSpaceDE w:val="0"/>
        <w:autoSpaceDN w:val="0"/>
        <w:spacing w:before="120"/>
        <w:contextualSpacing w:val="0"/>
      </w:pPr>
      <w:r w:rsidRPr="002C1805">
        <w:t>subcontractor will meet the requirements of this standard along with the requirements laid out in the funding rules</w:t>
      </w:r>
    </w:p>
    <w:p w14:paraId="49278D95" w14:textId="77777777" w:rsidR="000846E8" w:rsidRPr="002C1805" w:rsidRDefault="000846E8" w:rsidP="00AF2CC9">
      <w:pPr>
        <w:pStyle w:val="ListParagraph"/>
        <w:widowControl w:val="0"/>
        <w:numPr>
          <w:ilvl w:val="0"/>
          <w:numId w:val="23"/>
        </w:numPr>
        <w:autoSpaceDE w:val="0"/>
        <w:autoSpaceDN w:val="0"/>
        <w:spacing w:before="120"/>
        <w:contextualSpacing w:val="0"/>
      </w:pPr>
      <w:r w:rsidRPr="002C1805">
        <w:t xml:space="preserve">There is a procurement strategy that covers the invitation to tender (ITT) process. As part of the strategy, whether this is new or an existing process, the procurement process would include the drafting of the ITT documents. The provider should ensure that the contract document clearly and comprehensively sets out the </w:t>
      </w:r>
      <w:proofErr w:type="gramStart"/>
      <w:r w:rsidRPr="002C1805">
        <w:t>parties</w:t>
      </w:r>
      <w:proofErr w:type="gramEnd"/>
      <w:r w:rsidRPr="002C1805">
        <w:t xml:space="preserve"> obligations to the agreement.</w:t>
      </w:r>
    </w:p>
    <w:p w14:paraId="0D6F5FEE" w14:textId="77777777" w:rsidR="000846E8" w:rsidRPr="002C1805" w:rsidRDefault="000846E8" w:rsidP="00AF2CC9">
      <w:pPr>
        <w:pStyle w:val="ListParagraph"/>
        <w:widowControl w:val="0"/>
        <w:numPr>
          <w:ilvl w:val="0"/>
          <w:numId w:val="23"/>
        </w:numPr>
        <w:autoSpaceDE w:val="0"/>
        <w:autoSpaceDN w:val="0"/>
        <w:spacing w:before="120"/>
        <w:contextualSpacing w:val="0"/>
      </w:pPr>
      <w:r w:rsidRPr="002C1805">
        <w:t>That the ITT is sufficient to collect, but not limited to, the following information:</w:t>
      </w:r>
    </w:p>
    <w:p w14:paraId="04BFD5ED" w14:textId="77777777" w:rsidR="000846E8" w:rsidRPr="002C1805" w:rsidRDefault="000846E8" w:rsidP="00AF2CC9">
      <w:pPr>
        <w:pStyle w:val="ListParagraph"/>
        <w:widowControl w:val="0"/>
        <w:numPr>
          <w:ilvl w:val="0"/>
          <w:numId w:val="27"/>
        </w:numPr>
        <w:autoSpaceDE w:val="0"/>
        <w:autoSpaceDN w:val="0"/>
        <w:spacing w:before="120"/>
        <w:contextualSpacing w:val="0"/>
      </w:pPr>
      <w:r w:rsidRPr="002C1805">
        <w:t>organisation, including ultimate parent details including identity, ownership and background</w:t>
      </w:r>
    </w:p>
    <w:p w14:paraId="4E7E9BDF" w14:textId="77777777" w:rsidR="000846E8" w:rsidRPr="002C1805" w:rsidRDefault="000846E8" w:rsidP="00AF2CC9">
      <w:pPr>
        <w:pStyle w:val="ListParagraph"/>
        <w:widowControl w:val="0"/>
        <w:numPr>
          <w:ilvl w:val="0"/>
          <w:numId w:val="27"/>
        </w:numPr>
        <w:autoSpaceDE w:val="0"/>
        <w:autoSpaceDN w:val="0"/>
        <w:spacing w:before="120"/>
        <w:contextualSpacing w:val="0"/>
      </w:pPr>
      <w:r w:rsidRPr="002C1805">
        <w:t>principal activities (past and present)</w:t>
      </w:r>
    </w:p>
    <w:p w14:paraId="6A2E8B62" w14:textId="0BF8E421" w:rsidR="000846E8" w:rsidRPr="002C1805" w:rsidRDefault="000846E8" w:rsidP="00AF2CC9">
      <w:pPr>
        <w:pStyle w:val="ListParagraph"/>
        <w:widowControl w:val="0"/>
        <w:numPr>
          <w:ilvl w:val="0"/>
          <w:numId w:val="27"/>
        </w:numPr>
        <w:autoSpaceDE w:val="0"/>
        <w:autoSpaceDN w:val="0"/>
        <w:spacing w:before="120"/>
        <w:contextualSpacing w:val="0"/>
      </w:pPr>
      <w:r w:rsidRPr="002C1805">
        <w:t>organisational chart, contractor/subcontracting approach</w:t>
      </w:r>
    </w:p>
    <w:p w14:paraId="16A6127C" w14:textId="77777777" w:rsidR="000846E8" w:rsidRPr="002C1805" w:rsidRDefault="000846E8" w:rsidP="00AF2CC9">
      <w:pPr>
        <w:pStyle w:val="ListParagraph"/>
        <w:widowControl w:val="0"/>
        <w:numPr>
          <w:ilvl w:val="0"/>
          <w:numId w:val="27"/>
        </w:numPr>
        <w:autoSpaceDE w:val="0"/>
        <w:autoSpaceDN w:val="0"/>
        <w:spacing w:before="120"/>
        <w:contextualSpacing w:val="0"/>
      </w:pPr>
      <w:r w:rsidRPr="002C1805">
        <w:t>professional/commercial affiliations</w:t>
      </w:r>
    </w:p>
    <w:p w14:paraId="7C1FD764" w14:textId="77777777" w:rsidR="000846E8" w:rsidRPr="002C1805" w:rsidRDefault="000846E8" w:rsidP="00AF2CC9">
      <w:pPr>
        <w:pStyle w:val="ListParagraph"/>
        <w:widowControl w:val="0"/>
        <w:numPr>
          <w:ilvl w:val="0"/>
          <w:numId w:val="27"/>
        </w:numPr>
        <w:autoSpaceDE w:val="0"/>
        <w:autoSpaceDN w:val="0"/>
        <w:spacing w:before="120"/>
        <w:contextualSpacing w:val="0"/>
      </w:pPr>
      <w:r w:rsidRPr="002C1805">
        <w:t>legal, financial, capability and quality management systems</w:t>
      </w:r>
    </w:p>
    <w:p w14:paraId="6C9707F1" w14:textId="77777777" w:rsidR="000846E8" w:rsidRPr="002C1805" w:rsidRDefault="000846E8" w:rsidP="00AF2CC9">
      <w:pPr>
        <w:pStyle w:val="ListParagraph"/>
        <w:widowControl w:val="0"/>
        <w:numPr>
          <w:ilvl w:val="0"/>
          <w:numId w:val="27"/>
        </w:numPr>
        <w:autoSpaceDE w:val="0"/>
        <w:autoSpaceDN w:val="0"/>
        <w:spacing w:before="120"/>
        <w:contextualSpacing w:val="0"/>
      </w:pPr>
      <w:r w:rsidRPr="002C1805">
        <w:t>Ofsted reports and experience and track record</w:t>
      </w:r>
    </w:p>
    <w:p w14:paraId="7918A90D" w14:textId="77777777" w:rsidR="000846E8" w:rsidRPr="002C1805" w:rsidRDefault="000846E8" w:rsidP="00AF2CC9">
      <w:pPr>
        <w:pStyle w:val="ListParagraph"/>
        <w:widowControl w:val="0"/>
        <w:numPr>
          <w:ilvl w:val="0"/>
          <w:numId w:val="23"/>
        </w:numPr>
        <w:autoSpaceDE w:val="0"/>
        <w:autoSpaceDN w:val="0"/>
        <w:spacing w:before="120"/>
        <w:contextualSpacing w:val="0"/>
      </w:pPr>
      <w:r w:rsidRPr="002C1805">
        <w:t>The procurement strategy or process ensures that a robust assessment process for selecting subcontractors has been established. This should review the subcontractor’s completed ITT, as well as their capability to control quality, delivery, quantity, price and all the other factors contained in the subcontract. Following a successful appraisal, the subcontractor is placed on an approved list of contractors.</w:t>
      </w:r>
    </w:p>
    <w:p w14:paraId="421A4558" w14:textId="77777777" w:rsidR="000846E8" w:rsidRPr="002C1805" w:rsidRDefault="000846E8" w:rsidP="00AF2CC9">
      <w:pPr>
        <w:pStyle w:val="ListParagraph"/>
        <w:widowControl w:val="0"/>
        <w:numPr>
          <w:ilvl w:val="0"/>
          <w:numId w:val="23"/>
        </w:numPr>
        <w:autoSpaceDE w:val="0"/>
        <w:autoSpaceDN w:val="0"/>
        <w:spacing w:before="120"/>
        <w:contextualSpacing w:val="0"/>
      </w:pPr>
      <w:r w:rsidRPr="002C1805">
        <w:t>The evaluation process includes:</w:t>
      </w:r>
    </w:p>
    <w:p w14:paraId="04E310EC" w14:textId="77777777" w:rsidR="000846E8" w:rsidRPr="002C1805" w:rsidRDefault="000846E8" w:rsidP="00AF2CC9">
      <w:pPr>
        <w:pStyle w:val="ListParagraph"/>
        <w:widowControl w:val="0"/>
        <w:numPr>
          <w:ilvl w:val="0"/>
          <w:numId w:val="28"/>
        </w:numPr>
        <w:autoSpaceDE w:val="0"/>
        <w:autoSpaceDN w:val="0"/>
        <w:spacing w:before="120"/>
        <w:contextualSpacing w:val="0"/>
      </w:pPr>
      <w:r w:rsidRPr="002C1805">
        <w:t xml:space="preserve">the analysis of the potential subcontractor’s response to the main subject matter of the </w:t>
      </w:r>
      <w:r w:rsidRPr="002C1805">
        <w:lastRenderedPageBreak/>
        <w:t>requirements set out in the ITT – for example the price, delivery, quality and methodology</w:t>
      </w:r>
    </w:p>
    <w:p w14:paraId="160CD9F2" w14:textId="77777777" w:rsidR="000846E8" w:rsidRPr="002C1805" w:rsidRDefault="000846E8" w:rsidP="00AF2CC9">
      <w:pPr>
        <w:pStyle w:val="ListParagraph"/>
        <w:widowControl w:val="0"/>
        <w:numPr>
          <w:ilvl w:val="0"/>
          <w:numId w:val="28"/>
        </w:numPr>
        <w:autoSpaceDE w:val="0"/>
        <w:autoSpaceDN w:val="0"/>
        <w:spacing w:before="120"/>
        <w:contextualSpacing w:val="0"/>
      </w:pPr>
      <w:r w:rsidRPr="002C1805">
        <w:t>the quality of the bidder’s offer</w:t>
      </w:r>
    </w:p>
    <w:p w14:paraId="0611D2D6" w14:textId="77777777" w:rsidR="000846E8" w:rsidRPr="00F82940" w:rsidRDefault="000846E8" w:rsidP="000846E8">
      <w:r w:rsidRPr="00F82940">
        <w:t>There should be a clear rationale for how the tenders are evaluated and scored.</w:t>
      </w:r>
    </w:p>
    <w:p w14:paraId="74D21EE0" w14:textId="77777777" w:rsidR="000846E8" w:rsidRDefault="000846E8" w:rsidP="000846E8"/>
    <w:p w14:paraId="3BF76DFD" w14:textId="77777777" w:rsidR="000846E8" w:rsidRPr="003E04DD" w:rsidRDefault="000846E8" w:rsidP="00AF2CC9">
      <w:pPr>
        <w:pStyle w:val="ListParagraph"/>
        <w:widowControl w:val="0"/>
        <w:numPr>
          <w:ilvl w:val="0"/>
          <w:numId w:val="23"/>
        </w:numPr>
        <w:autoSpaceDE w:val="0"/>
        <w:autoSpaceDN w:val="0"/>
        <w:spacing w:before="120"/>
        <w:contextualSpacing w:val="0"/>
      </w:pPr>
      <w:r w:rsidRPr="003E04DD">
        <w:t>Following tender evaluation and, where appropriate, negotiation, the provider will satisfy themselves that an offer has been made which meets its requirements in all respects, including budgetary and capability. It will consider that it is able to accept an offer and award the contract to the tenderer who meets the contract specification.  It may then move directly to the award stage or make a recommendation to higher authority levels within the organisation for acceptance. This should be aligned to the provider’s strategic and operational objectives</w:t>
      </w:r>
    </w:p>
    <w:p w14:paraId="1E434B12" w14:textId="77777777" w:rsidR="000846E8" w:rsidRPr="003E04DD" w:rsidRDefault="000846E8" w:rsidP="00AF2CC9">
      <w:pPr>
        <w:pStyle w:val="ListParagraph"/>
        <w:widowControl w:val="0"/>
        <w:numPr>
          <w:ilvl w:val="0"/>
          <w:numId w:val="23"/>
        </w:numPr>
        <w:autoSpaceDE w:val="0"/>
        <w:autoSpaceDN w:val="0"/>
        <w:spacing w:before="120"/>
        <w:contextualSpacing w:val="0"/>
      </w:pPr>
      <w:r w:rsidRPr="003E04DD">
        <w:t>Where appropriate, you have approval from DfE for any agreed subcontracting terms in relation to distance learning and whole programme subcontracting for 16 to 19. There is evidence to support this.</w:t>
      </w:r>
    </w:p>
    <w:p w14:paraId="16A3A1F2" w14:textId="77777777" w:rsidR="000846E8" w:rsidRPr="003E04DD" w:rsidRDefault="000846E8" w:rsidP="00AF2CC9">
      <w:pPr>
        <w:pStyle w:val="ListParagraph"/>
        <w:widowControl w:val="0"/>
        <w:numPr>
          <w:ilvl w:val="0"/>
          <w:numId w:val="23"/>
        </w:numPr>
        <w:autoSpaceDE w:val="0"/>
        <w:autoSpaceDN w:val="0"/>
        <w:spacing w:before="120"/>
        <w:contextualSpacing w:val="0"/>
      </w:pPr>
      <w:r w:rsidRPr="003E04DD">
        <w:t>Management fees have been determined for the full range of funding retained and charges that they wish to apply, and these have been agreed at executive level and published on the website. These should only exceed 20% in exceptional circumstances. In all cases of fees exceeding 20%, DfE will ask for more information.</w:t>
      </w:r>
    </w:p>
    <w:p w14:paraId="1E88816E" w14:textId="77777777" w:rsidR="000846E8" w:rsidRDefault="000846E8" w:rsidP="000846E8"/>
    <w:p w14:paraId="75DA1B7F" w14:textId="77777777" w:rsidR="000846E8" w:rsidRPr="00726BFA" w:rsidRDefault="000846E8" w:rsidP="00CB4A52">
      <w:pPr>
        <w:pStyle w:val="Heading2"/>
        <w:numPr>
          <w:ilvl w:val="0"/>
          <w:numId w:val="53"/>
        </w:numPr>
        <w:rPr>
          <w:b w:val="0"/>
          <w:bCs w:val="0"/>
          <w:szCs w:val="22"/>
        </w:rPr>
      </w:pPr>
      <w:r w:rsidRPr="00726BFA">
        <w:rPr>
          <w:szCs w:val="22"/>
        </w:rPr>
        <w:t>Contract Award and Management</w:t>
      </w:r>
    </w:p>
    <w:p w14:paraId="4B5DBC5D" w14:textId="77777777" w:rsidR="000846E8" w:rsidRPr="00A47A5C" w:rsidRDefault="000846E8" w:rsidP="000846E8">
      <w:pPr>
        <w:pStyle w:val="BodyText"/>
      </w:pPr>
      <w:r w:rsidRPr="00A47A5C">
        <w:t>In preparing for contract management and providing oversight the provider must be able to demonstrate:</w:t>
      </w:r>
    </w:p>
    <w:p w14:paraId="661024E8" w14:textId="77777777" w:rsidR="000846E8" w:rsidRPr="00A47A5C" w:rsidRDefault="000846E8" w:rsidP="00AF2CC9">
      <w:pPr>
        <w:pStyle w:val="BodyText"/>
        <w:widowControl w:val="0"/>
        <w:numPr>
          <w:ilvl w:val="0"/>
          <w:numId w:val="30"/>
        </w:numPr>
        <w:autoSpaceDE w:val="0"/>
        <w:autoSpaceDN w:val="0"/>
        <w:spacing w:before="119" w:after="0"/>
      </w:pPr>
      <w:r w:rsidRPr="00A47A5C">
        <w:t>That the subcontract meets the agreed educational objectives, is achievable and financially viable, and supports the intended outcomes. It should clearly define the critical success factors and consider alternative options, including existing contracts. A thorough risk assessment should be conducted, identifying where risks may arise and who they may affect.</w:t>
      </w:r>
    </w:p>
    <w:p w14:paraId="1464D26B" w14:textId="77777777" w:rsidR="000846E8" w:rsidRPr="00A47A5C" w:rsidRDefault="000846E8" w:rsidP="00AF2CC9">
      <w:pPr>
        <w:pStyle w:val="BodyText"/>
        <w:widowControl w:val="0"/>
        <w:numPr>
          <w:ilvl w:val="0"/>
          <w:numId w:val="30"/>
        </w:numPr>
        <w:autoSpaceDE w:val="0"/>
        <w:autoSpaceDN w:val="0"/>
        <w:spacing w:before="119" w:after="0"/>
      </w:pPr>
      <w:r w:rsidRPr="00A47A5C">
        <w:t>The minimum provisions within DfE’s subcontracting rules form part of their subcontract agreement and learning and/or delivery must not commence prior to a signed contract being in place between the two parties.</w:t>
      </w:r>
    </w:p>
    <w:p w14:paraId="7AE90931" w14:textId="77777777" w:rsidR="000846E8" w:rsidRPr="00A47A5C" w:rsidRDefault="000846E8" w:rsidP="00AF2CC9">
      <w:pPr>
        <w:pStyle w:val="BodyText"/>
        <w:widowControl w:val="0"/>
        <w:numPr>
          <w:ilvl w:val="0"/>
          <w:numId w:val="30"/>
        </w:numPr>
        <w:autoSpaceDE w:val="0"/>
        <w:autoSpaceDN w:val="0"/>
        <w:spacing w:before="119" w:after="0"/>
      </w:pPr>
      <w:r w:rsidRPr="00A47A5C">
        <w:t>All awarded contracts are managed by staff within the organisation who have clearly defined roles that have been agreed as part of the overall considerations in producing the business case. The defined roles ensure that contract ownership is clear, with the budget holder, senior responsible owner (SRO), and contract manager clearly defined (where appropriate).</w:t>
      </w:r>
    </w:p>
    <w:p w14:paraId="59129117" w14:textId="77777777" w:rsidR="000846E8" w:rsidRPr="00A47A5C" w:rsidRDefault="000846E8" w:rsidP="00AF2CC9">
      <w:pPr>
        <w:pStyle w:val="BodyText"/>
        <w:widowControl w:val="0"/>
        <w:numPr>
          <w:ilvl w:val="0"/>
          <w:numId w:val="30"/>
        </w:numPr>
        <w:autoSpaceDE w:val="0"/>
        <w:autoSpaceDN w:val="0"/>
        <w:spacing w:before="119" w:after="0"/>
      </w:pPr>
      <w:r w:rsidRPr="00A47A5C">
        <w:t>There are well defined policies and processes and a clear contract management plan, with a focus on outputs and a ‘whole life’ approach to performance. For example. this must include, where appropriate, evidence of how the provider will:</w:t>
      </w:r>
    </w:p>
    <w:p w14:paraId="3854F599" w14:textId="77777777" w:rsidR="000846E8" w:rsidRPr="00A47A5C" w:rsidRDefault="000846E8" w:rsidP="00AF2CC9">
      <w:pPr>
        <w:pStyle w:val="BodyText"/>
        <w:widowControl w:val="0"/>
        <w:numPr>
          <w:ilvl w:val="0"/>
          <w:numId w:val="31"/>
        </w:numPr>
        <w:autoSpaceDE w:val="0"/>
        <w:autoSpaceDN w:val="0"/>
        <w:spacing w:before="119" w:after="0"/>
      </w:pPr>
      <w:r w:rsidRPr="00A47A5C">
        <w:t>manage and oversee 16 to 19 distance and whole programme provision through the life of each learner’s programme of study</w:t>
      </w:r>
    </w:p>
    <w:p w14:paraId="2E5ECB0C" w14:textId="77777777" w:rsidR="000846E8" w:rsidRPr="00A47A5C" w:rsidRDefault="000846E8" w:rsidP="00AF2CC9">
      <w:pPr>
        <w:pStyle w:val="BodyText"/>
        <w:widowControl w:val="0"/>
        <w:numPr>
          <w:ilvl w:val="0"/>
          <w:numId w:val="31"/>
        </w:numPr>
        <w:autoSpaceDE w:val="0"/>
        <w:autoSpaceDN w:val="0"/>
        <w:spacing w:before="119" w:after="0"/>
      </w:pPr>
      <w:r w:rsidRPr="00A47A5C">
        <w:t>define how whole programme subcontracting for ASF will be agreed and managed</w:t>
      </w:r>
    </w:p>
    <w:p w14:paraId="05A04462" w14:textId="77777777" w:rsidR="000846E8" w:rsidRPr="00A47A5C" w:rsidRDefault="000846E8" w:rsidP="00AF2CC9">
      <w:pPr>
        <w:pStyle w:val="BodyText"/>
        <w:widowControl w:val="0"/>
        <w:numPr>
          <w:ilvl w:val="0"/>
          <w:numId w:val="31"/>
        </w:numPr>
        <w:autoSpaceDE w:val="0"/>
        <w:autoSpaceDN w:val="0"/>
        <w:spacing w:before="119" w:after="0"/>
      </w:pPr>
      <w:r w:rsidRPr="00A47A5C">
        <w:t>ensure apprenticeship provision is not delivered solely by a subcontractor, as per the apprenticeship funding rules with specific regard to substance, leading the relationship and the subcontracted delivery complimenting the main provider’s programme</w:t>
      </w:r>
    </w:p>
    <w:p w14:paraId="706C1FD7" w14:textId="77777777" w:rsidR="000846E8" w:rsidRPr="00A47A5C" w:rsidRDefault="000846E8" w:rsidP="00AF2CC9">
      <w:pPr>
        <w:pStyle w:val="BodyText"/>
        <w:widowControl w:val="0"/>
        <w:numPr>
          <w:ilvl w:val="0"/>
          <w:numId w:val="30"/>
        </w:numPr>
        <w:autoSpaceDE w:val="0"/>
        <w:autoSpaceDN w:val="0"/>
        <w:spacing w:before="119" w:after="0"/>
      </w:pPr>
      <w:r w:rsidRPr="00A47A5C">
        <w:t>These policies, including the rationale, are reviewed by the provider ahead of each Funding Year. The provider should also demonstrate that the policies and rationale have been appropriately authorised through the organisation’s governance structure. Once reviewed, updated policies must be published by 31 October in the relevant funding year.</w:t>
      </w:r>
    </w:p>
    <w:p w14:paraId="7F0E7CCE" w14:textId="77777777" w:rsidR="000846E8" w:rsidRPr="00A47A5C" w:rsidRDefault="000846E8" w:rsidP="00AF2CC9">
      <w:pPr>
        <w:pStyle w:val="BodyText"/>
        <w:widowControl w:val="0"/>
        <w:numPr>
          <w:ilvl w:val="0"/>
          <w:numId w:val="30"/>
        </w:numPr>
        <w:autoSpaceDE w:val="0"/>
        <w:autoSpaceDN w:val="0"/>
        <w:spacing w:before="119" w:after="0"/>
      </w:pPr>
      <w:r w:rsidRPr="00A47A5C">
        <w:t xml:space="preserve">Contract management processes are aligned with, among others, wider organisational </w:t>
      </w:r>
      <w:r w:rsidRPr="00A47A5C">
        <w:lastRenderedPageBreak/>
        <w:t>governance processes, operational boards, and risk structures.</w:t>
      </w:r>
    </w:p>
    <w:p w14:paraId="69D6D4DB" w14:textId="77777777" w:rsidR="000846E8" w:rsidRPr="00A47A5C" w:rsidRDefault="000846E8" w:rsidP="00AF2CC9">
      <w:pPr>
        <w:pStyle w:val="BodyText"/>
        <w:widowControl w:val="0"/>
        <w:numPr>
          <w:ilvl w:val="0"/>
          <w:numId w:val="30"/>
        </w:numPr>
        <w:autoSpaceDE w:val="0"/>
        <w:autoSpaceDN w:val="0"/>
        <w:spacing w:before="119" w:after="0"/>
      </w:pPr>
      <w:r w:rsidRPr="00A47A5C">
        <w:t>Contract management issues and performance are reported through the governance structure with senior level engagement.</w:t>
      </w:r>
    </w:p>
    <w:p w14:paraId="71B0D6A8" w14:textId="77777777" w:rsidR="000846E8" w:rsidRPr="00A47A5C" w:rsidRDefault="000846E8" w:rsidP="00AF2CC9">
      <w:pPr>
        <w:pStyle w:val="BodyText"/>
        <w:widowControl w:val="0"/>
        <w:numPr>
          <w:ilvl w:val="0"/>
          <w:numId w:val="30"/>
        </w:numPr>
        <w:autoSpaceDE w:val="0"/>
        <w:autoSpaceDN w:val="0"/>
        <w:spacing w:before="119" w:after="0"/>
      </w:pPr>
      <w:r w:rsidRPr="00A47A5C">
        <w:t>Regular assessment and evaluation must take place to ensure that the cost of contract management activities is justified and proportionate to the benefits obtained.</w:t>
      </w:r>
    </w:p>
    <w:p w14:paraId="2827E9F6" w14:textId="77777777" w:rsidR="000846E8" w:rsidRPr="00A47A5C" w:rsidRDefault="000846E8" w:rsidP="00AF2CC9">
      <w:pPr>
        <w:pStyle w:val="BodyText"/>
        <w:widowControl w:val="0"/>
        <w:numPr>
          <w:ilvl w:val="0"/>
          <w:numId w:val="30"/>
        </w:numPr>
        <w:autoSpaceDE w:val="0"/>
        <w:autoSpaceDN w:val="0"/>
        <w:spacing w:before="119" w:after="0"/>
      </w:pPr>
      <w:r w:rsidRPr="00A47A5C">
        <w:t>Knowledge management is embedded, capturing key data and lessons from contract management process and experience, both within the organisation and more widely.</w:t>
      </w:r>
    </w:p>
    <w:p w14:paraId="1E4750D2" w14:textId="77777777" w:rsidR="000846E8" w:rsidRPr="00A47A5C" w:rsidRDefault="000846E8" w:rsidP="00AF2CC9">
      <w:pPr>
        <w:pStyle w:val="BodyText"/>
        <w:widowControl w:val="0"/>
        <w:numPr>
          <w:ilvl w:val="0"/>
          <w:numId w:val="30"/>
        </w:numPr>
        <w:autoSpaceDE w:val="0"/>
        <w:autoSpaceDN w:val="0"/>
        <w:spacing w:before="119" w:after="0"/>
      </w:pPr>
      <w:r w:rsidRPr="00A47A5C">
        <w:t>Professional contract management guidance is developed, or identified from external sources, and made available to contract managers.</w:t>
      </w:r>
    </w:p>
    <w:p w14:paraId="30F44296" w14:textId="77777777" w:rsidR="000846E8" w:rsidRPr="00A47A5C" w:rsidRDefault="000846E8" w:rsidP="00AF2CC9">
      <w:pPr>
        <w:pStyle w:val="BodyText"/>
        <w:widowControl w:val="0"/>
        <w:numPr>
          <w:ilvl w:val="0"/>
          <w:numId w:val="30"/>
        </w:numPr>
        <w:autoSpaceDE w:val="0"/>
        <w:autoSpaceDN w:val="0"/>
        <w:spacing w:before="119" w:after="0"/>
      </w:pPr>
      <w:r w:rsidRPr="00A47A5C">
        <w:t>There are robust procedures in place to ensure extremist organisations are not funded through subcontracting of any DfE funding.</w:t>
      </w:r>
    </w:p>
    <w:p w14:paraId="25AB341C" w14:textId="77777777" w:rsidR="000846E8" w:rsidRDefault="000846E8" w:rsidP="000846E8">
      <w:pPr>
        <w:pStyle w:val="BodyText"/>
      </w:pPr>
    </w:p>
    <w:p w14:paraId="30A03F3A" w14:textId="77777777" w:rsidR="00CB4A52" w:rsidRPr="00CB4A52" w:rsidRDefault="000846E8" w:rsidP="00CB4A52">
      <w:pPr>
        <w:pStyle w:val="Heading2"/>
        <w:numPr>
          <w:ilvl w:val="0"/>
          <w:numId w:val="53"/>
        </w:numPr>
        <w:rPr>
          <w:b w:val="0"/>
          <w:bCs w:val="0"/>
          <w:szCs w:val="22"/>
        </w:rPr>
      </w:pPr>
      <w:r w:rsidRPr="00726BFA">
        <w:rPr>
          <w:szCs w:val="22"/>
        </w:rPr>
        <w:t>People</w:t>
      </w:r>
    </w:p>
    <w:p w14:paraId="385008E1" w14:textId="08F8173D" w:rsidR="000846E8" w:rsidRPr="00CB4A52" w:rsidRDefault="000846E8" w:rsidP="00400C6D">
      <w:r w:rsidRPr="00666ABD">
        <w:t>In ensuring the right people are in place to carry out the contract management activities, the provider must demonstrate that:</w:t>
      </w:r>
    </w:p>
    <w:p w14:paraId="7171844A" w14:textId="77777777" w:rsidR="000846E8" w:rsidRPr="00666ABD" w:rsidRDefault="000846E8" w:rsidP="00AF2CC9">
      <w:pPr>
        <w:pStyle w:val="BodyText"/>
        <w:widowControl w:val="0"/>
        <w:numPr>
          <w:ilvl w:val="0"/>
          <w:numId w:val="33"/>
        </w:numPr>
        <w:autoSpaceDE w:val="0"/>
        <w:autoSpaceDN w:val="0"/>
        <w:spacing w:before="121" w:after="0"/>
      </w:pPr>
      <w:r w:rsidRPr="00666ABD">
        <w:t>Either the business continuity or contingency plan incorporates the role of the contract manager or those with contract management responsibility (ideally through involvement during the tendering or contract award processes) or continuity is ensured through appropriate handover and information sharing procedures being in place.</w:t>
      </w:r>
    </w:p>
    <w:p w14:paraId="2AED01F2" w14:textId="77777777" w:rsidR="000846E8" w:rsidRPr="00666ABD" w:rsidRDefault="000846E8" w:rsidP="00AF2CC9">
      <w:pPr>
        <w:pStyle w:val="BodyText"/>
        <w:widowControl w:val="0"/>
        <w:numPr>
          <w:ilvl w:val="0"/>
          <w:numId w:val="33"/>
        </w:numPr>
        <w:autoSpaceDE w:val="0"/>
        <w:autoSpaceDN w:val="0"/>
        <w:spacing w:before="121" w:after="0"/>
      </w:pPr>
      <w:r w:rsidRPr="00666ABD">
        <w:t>Contract managers have detailed knowledge of the contract and other relevant issues, such as:</w:t>
      </w:r>
    </w:p>
    <w:p w14:paraId="61706C84" w14:textId="77777777" w:rsidR="000846E8" w:rsidRPr="00666ABD" w:rsidRDefault="000846E8" w:rsidP="00AF2CC9">
      <w:pPr>
        <w:pStyle w:val="BodyText"/>
        <w:widowControl w:val="0"/>
        <w:numPr>
          <w:ilvl w:val="0"/>
          <w:numId w:val="34"/>
        </w:numPr>
        <w:autoSpaceDE w:val="0"/>
        <w:autoSpaceDN w:val="0"/>
        <w:spacing w:before="121" w:after="0"/>
      </w:pPr>
      <w:r w:rsidRPr="00666ABD">
        <w:t>service level agreements</w:t>
      </w:r>
    </w:p>
    <w:p w14:paraId="30FFE85C" w14:textId="77777777" w:rsidR="000846E8" w:rsidRPr="00666ABD" w:rsidRDefault="000846E8" w:rsidP="00AF2CC9">
      <w:pPr>
        <w:pStyle w:val="BodyText"/>
        <w:widowControl w:val="0"/>
        <w:numPr>
          <w:ilvl w:val="0"/>
          <w:numId w:val="34"/>
        </w:numPr>
        <w:autoSpaceDE w:val="0"/>
        <w:autoSpaceDN w:val="0"/>
        <w:spacing w:before="121" w:after="0"/>
      </w:pPr>
      <w:r w:rsidRPr="00666ABD">
        <w:t>requirements in line with DFE contracts</w:t>
      </w:r>
    </w:p>
    <w:p w14:paraId="6481D42E" w14:textId="77777777" w:rsidR="000846E8" w:rsidRPr="00666ABD" w:rsidRDefault="000846E8" w:rsidP="00AF2CC9">
      <w:pPr>
        <w:pStyle w:val="BodyText"/>
        <w:widowControl w:val="0"/>
        <w:numPr>
          <w:ilvl w:val="0"/>
          <w:numId w:val="34"/>
        </w:numPr>
        <w:autoSpaceDE w:val="0"/>
        <w:autoSpaceDN w:val="0"/>
        <w:spacing w:before="121" w:after="0"/>
      </w:pPr>
      <w:r w:rsidRPr="00666ABD">
        <w:t>funding rules</w:t>
      </w:r>
    </w:p>
    <w:p w14:paraId="63B5E2D8" w14:textId="77777777" w:rsidR="000846E8" w:rsidRPr="00666ABD" w:rsidRDefault="000846E8" w:rsidP="00AF2CC9">
      <w:pPr>
        <w:pStyle w:val="BodyText"/>
        <w:widowControl w:val="0"/>
        <w:numPr>
          <w:ilvl w:val="0"/>
          <w:numId w:val="34"/>
        </w:numPr>
        <w:autoSpaceDE w:val="0"/>
        <w:autoSpaceDN w:val="0"/>
        <w:spacing w:before="121" w:after="0"/>
      </w:pPr>
      <w:r w:rsidRPr="00666ABD">
        <w:t>current subcontractor performance</w:t>
      </w:r>
    </w:p>
    <w:p w14:paraId="53CC5527" w14:textId="77777777" w:rsidR="000846E8" w:rsidRPr="00666ABD" w:rsidRDefault="000846E8" w:rsidP="00AF2CC9">
      <w:pPr>
        <w:pStyle w:val="BodyText"/>
        <w:widowControl w:val="0"/>
        <w:numPr>
          <w:ilvl w:val="0"/>
          <w:numId w:val="33"/>
        </w:numPr>
        <w:autoSpaceDE w:val="0"/>
        <w:autoSpaceDN w:val="0"/>
        <w:spacing w:before="121" w:after="0"/>
      </w:pPr>
      <w:r w:rsidRPr="00666ABD">
        <w:t>Contract managers have the appropriate skills (including general commercial awareness and expertise), with access to relevant training and development. Experienced contract managers are utilised on key contracts.</w:t>
      </w:r>
    </w:p>
    <w:p w14:paraId="60EBAD74" w14:textId="77777777" w:rsidR="000846E8" w:rsidRPr="00666ABD" w:rsidRDefault="000846E8" w:rsidP="00AF2CC9">
      <w:pPr>
        <w:pStyle w:val="BodyText"/>
        <w:widowControl w:val="0"/>
        <w:numPr>
          <w:ilvl w:val="0"/>
          <w:numId w:val="33"/>
        </w:numPr>
        <w:autoSpaceDE w:val="0"/>
        <w:autoSpaceDN w:val="0"/>
        <w:spacing w:before="121" w:after="0"/>
      </w:pPr>
      <w:r w:rsidRPr="00666ABD">
        <w:t>Contract managers have accurate job descriptions, roles are positioned at an appropriate level and salary, and there is a career path for contract management staff.</w:t>
      </w:r>
    </w:p>
    <w:p w14:paraId="4C6A37BF" w14:textId="77777777" w:rsidR="000846E8" w:rsidRPr="00666ABD" w:rsidRDefault="000846E8" w:rsidP="00AF2CC9">
      <w:pPr>
        <w:pStyle w:val="BodyText"/>
        <w:widowControl w:val="0"/>
        <w:numPr>
          <w:ilvl w:val="0"/>
          <w:numId w:val="33"/>
        </w:numPr>
        <w:autoSpaceDE w:val="0"/>
        <w:autoSpaceDN w:val="0"/>
        <w:spacing w:before="121" w:after="0"/>
      </w:pPr>
      <w:r w:rsidRPr="00666ABD">
        <w:t>Contract managers have clear objectives and reporting lines, and their performance is managed through reviews and appraisals.</w:t>
      </w:r>
    </w:p>
    <w:p w14:paraId="21E976DA" w14:textId="77777777" w:rsidR="000846E8" w:rsidRPr="00666ABD" w:rsidRDefault="000846E8" w:rsidP="00AF2CC9">
      <w:pPr>
        <w:pStyle w:val="BodyText"/>
        <w:widowControl w:val="0"/>
        <w:numPr>
          <w:ilvl w:val="0"/>
          <w:numId w:val="33"/>
        </w:numPr>
        <w:autoSpaceDE w:val="0"/>
        <w:autoSpaceDN w:val="0"/>
        <w:spacing w:before="121" w:after="0"/>
      </w:pPr>
      <w:r w:rsidRPr="00666ABD">
        <w:t xml:space="preserve">Contract managers have appropriate delegated authority to manage the contract effectively. </w:t>
      </w:r>
      <w:r w:rsidRPr="00666ABD">
        <w:t> </w:t>
      </w:r>
    </w:p>
    <w:p w14:paraId="14814238" w14:textId="77777777" w:rsidR="000846E8" w:rsidRPr="00726BFA" w:rsidRDefault="000846E8" w:rsidP="000846E8">
      <w:pPr>
        <w:tabs>
          <w:tab w:val="left" w:pos="1528"/>
          <w:tab w:val="left" w:pos="1529"/>
        </w:tabs>
        <w:spacing w:before="118" w:line="242" w:lineRule="auto"/>
        <w:ind w:right="575"/>
      </w:pPr>
    </w:p>
    <w:p w14:paraId="3DD61A96" w14:textId="77777777" w:rsidR="000846E8" w:rsidRPr="00726BFA" w:rsidRDefault="000846E8" w:rsidP="00400C6D">
      <w:pPr>
        <w:pStyle w:val="Heading2"/>
        <w:numPr>
          <w:ilvl w:val="0"/>
          <w:numId w:val="53"/>
        </w:numPr>
        <w:rPr>
          <w:b w:val="0"/>
          <w:bCs w:val="0"/>
          <w:szCs w:val="22"/>
        </w:rPr>
      </w:pPr>
      <w:r w:rsidRPr="00726BFA">
        <w:rPr>
          <w:szCs w:val="22"/>
        </w:rPr>
        <w:t>Administration</w:t>
      </w:r>
    </w:p>
    <w:p w14:paraId="59C6C7D4" w14:textId="77777777" w:rsidR="000846E8" w:rsidRPr="00DB5854" w:rsidRDefault="000846E8" w:rsidP="000846E8">
      <w:pPr>
        <w:pStyle w:val="BodyText"/>
      </w:pPr>
      <w:r w:rsidRPr="00DB5854">
        <w:t>In managing the contracts and the timetable for making key decisions, the provider must demonstrate that:</w:t>
      </w:r>
    </w:p>
    <w:p w14:paraId="39ECF9F7" w14:textId="77777777" w:rsidR="000846E8" w:rsidRPr="00DB5854" w:rsidRDefault="000846E8" w:rsidP="00AF2CC9">
      <w:pPr>
        <w:pStyle w:val="BodyText"/>
        <w:widowControl w:val="0"/>
        <w:numPr>
          <w:ilvl w:val="0"/>
          <w:numId w:val="36"/>
        </w:numPr>
        <w:autoSpaceDE w:val="0"/>
        <w:autoSpaceDN w:val="0"/>
        <w:spacing w:before="119" w:after="0"/>
      </w:pPr>
      <w:r w:rsidRPr="00DB5854">
        <w:t>Signed contracts are stored and logged and are easily accessible when required; for complex contracts, a summary and/or contract operations guide should be produced.</w:t>
      </w:r>
    </w:p>
    <w:p w14:paraId="533E4C6D" w14:textId="77777777" w:rsidR="000846E8" w:rsidRPr="00DB5854" w:rsidRDefault="000846E8" w:rsidP="00AF2CC9">
      <w:pPr>
        <w:pStyle w:val="BodyText"/>
        <w:widowControl w:val="0"/>
        <w:numPr>
          <w:ilvl w:val="0"/>
          <w:numId w:val="36"/>
        </w:numPr>
        <w:autoSpaceDE w:val="0"/>
        <w:autoSpaceDN w:val="0"/>
        <w:spacing w:before="119" w:after="0"/>
      </w:pPr>
      <w:r w:rsidRPr="00DB5854">
        <w:t>Key contractual information is recorded appropriately to allow, for example; search capability; documentation of up-to-date contract information; and key dates.</w:t>
      </w:r>
    </w:p>
    <w:p w14:paraId="1806C752" w14:textId="77777777" w:rsidR="000846E8" w:rsidRPr="00DB5854" w:rsidRDefault="000846E8" w:rsidP="00AF2CC9">
      <w:pPr>
        <w:pStyle w:val="BodyText"/>
        <w:widowControl w:val="0"/>
        <w:numPr>
          <w:ilvl w:val="0"/>
          <w:numId w:val="36"/>
        </w:numPr>
        <w:autoSpaceDE w:val="0"/>
        <w:autoSpaceDN w:val="0"/>
        <w:spacing w:before="119" w:after="0"/>
      </w:pPr>
      <w:r w:rsidRPr="00DB5854">
        <w:t>There are mechanisms in place for identifying key contract ‘trigger points’, such as notice periods.</w:t>
      </w:r>
    </w:p>
    <w:p w14:paraId="57194079" w14:textId="77777777" w:rsidR="000846E8" w:rsidRPr="00DB5854" w:rsidRDefault="000846E8" w:rsidP="00AF2CC9">
      <w:pPr>
        <w:pStyle w:val="BodyText"/>
        <w:widowControl w:val="0"/>
        <w:numPr>
          <w:ilvl w:val="0"/>
          <w:numId w:val="36"/>
        </w:numPr>
        <w:autoSpaceDE w:val="0"/>
        <w:autoSpaceDN w:val="0"/>
        <w:spacing w:before="119" w:after="0"/>
      </w:pPr>
      <w:r w:rsidRPr="00DB5854">
        <w:lastRenderedPageBreak/>
        <w:t>There is schedule of regular as well as ad hoc reporting of contract management information and retention of appropriate documentation - such as, minutes of contract meetings and reviews of teaching and learning.</w:t>
      </w:r>
    </w:p>
    <w:p w14:paraId="7ECB37D2" w14:textId="77777777" w:rsidR="000846E8" w:rsidRPr="00DB5854" w:rsidRDefault="000846E8" w:rsidP="00AF2CC9">
      <w:pPr>
        <w:pStyle w:val="BodyText"/>
        <w:widowControl w:val="0"/>
        <w:numPr>
          <w:ilvl w:val="0"/>
          <w:numId w:val="36"/>
        </w:numPr>
        <w:autoSpaceDE w:val="0"/>
        <w:autoSpaceDN w:val="0"/>
        <w:spacing w:before="119" w:after="0"/>
      </w:pPr>
      <w:r w:rsidRPr="00DB5854">
        <w:t>There are appropriate processes and procedures in place to ensure that contracts are closed or terminated efficiently.</w:t>
      </w:r>
    </w:p>
    <w:p w14:paraId="552979A2" w14:textId="77777777" w:rsidR="000846E8" w:rsidRPr="00DB5854" w:rsidRDefault="000846E8" w:rsidP="00AF2CC9">
      <w:pPr>
        <w:pStyle w:val="BodyText"/>
        <w:widowControl w:val="0"/>
        <w:numPr>
          <w:ilvl w:val="0"/>
          <w:numId w:val="36"/>
        </w:numPr>
        <w:autoSpaceDE w:val="0"/>
        <w:autoSpaceDN w:val="0"/>
        <w:spacing w:before="119" w:after="0"/>
      </w:pPr>
      <w:r w:rsidRPr="00DB5854">
        <w:t xml:space="preserve">There is an appropriate process in place to quantify the information presented in the subcontracting declarations made to DfE. Where the information made in the declaration significantly changes an updated declaration should be made to DfE as soon as possible. </w:t>
      </w:r>
      <w:r w:rsidRPr="00DB5854">
        <w:t> </w:t>
      </w:r>
    </w:p>
    <w:p w14:paraId="332C2FEB" w14:textId="77777777" w:rsidR="000846E8" w:rsidRPr="00726BFA" w:rsidRDefault="000846E8" w:rsidP="000846E8">
      <w:pPr>
        <w:tabs>
          <w:tab w:val="left" w:pos="1518"/>
          <w:tab w:val="left" w:pos="1519"/>
        </w:tabs>
        <w:spacing w:before="121"/>
        <w:ind w:left="360" w:right="589"/>
      </w:pPr>
    </w:p>
    <w:p w14:paraId="41370BB5" w14:textId="77777777" w:rsidR="000846E8" w:rsidRPr="00726BFA" w:rsidRDefault="000846E8" w:rsidP="00AF2CC9">
      <w:pPr>
        <w:pStyle w:val="Heading2"/>
        <w:numPr>
          <w:ilvl w:val="0"/>
          <w:numId w:val="39"/>
        </w:numPr>
        <w:rPr>
          <w:b w:val="0"/>
          <w:bCs w:val="0"/>
          <w:szCs w:val="22"/>
        </w:rPr>
      </w:pPr>
      <w:r w:rsidRPr="00726BFA">
        <w:rPr>
          <w:szCs w:val="22"/>
        </w:rPr>
        <w:t>Managing</w:t>
      </w:r>
      <w:r w:rsidRPr="00726BFA">
        <w:rPr>
          <w:spacing w:val="1"/>
          <w:szCs w:val="22"/>
        </w:rPr>
        <w:t xml:space="preserve"> </w:t>
      </w:r>
      <w:r w:rsidRPr="00726BFA">
        <w:rPr>
          <w:szCs w:val="22"/>
        </w:rPr>
        <w:t>Relationships</w:t>
      </w:r>
    </w:p>
    <w:p w14:paraId="77C90793" w14:textId="77777777" w:rsidR="000846E8" w:rsidRPr="005719D0" w:rsidRDefault="000846E8" w:rsidP="000846E8">
      <w:pPr>
        <w:pStyle w:val="BodyText"/>
      </w:pPr>
      <w:r w:rsidRPr="005719D0">
        <w:t>The provider must have appropriate procedures in place to manage their relationships with subcontractors and be able to demonstrate that:</w:t>
      </w:r>
    </w:p>
    <w:p w14:paraId="76349706" w14:textId="77777777" w:rsidR="000846E8" w:rsidRPr="005719D0" w:rsidRDefault="000846E8" w:rsidP="00AF2CC9">
      <w:pPr>
        <w:pStyle w:val="BodyText"/>
        <w:widowControl w:val="0"/>
        <w:numPr>
          <w:ilvl w:val="0"/>
          <w:numId w:val="37"/>
        </w:numPr>
        <w:autoSpaceDE w:val="0"/>
        <w:autoSpaceDN w:val="0"/>
        <w:spacing w:before="119" w:after="0"/>
      </w:pPr>
      <w:r w:rsidRPr="005719D0">
        <w:t xml:space="preserve">Proactive conversations and/or independent checks are undertaken in relation the subcontractor at least on an annual basis. These should cover and document, as a minimum, the </w:t>
      </w:r>
      <w:proofErr w:type="gramStart"/>
      <w:r w:rsidRPr="005719D0">
        <w:t>subcontractor’s</w:t>
      </w:r>
      <w:proofErr w:type="gramEnd"/>
      <w:r w:rsidRPr="005719D0">
        <w:t>:</w:t>
      </w:r>
    </w:p>
    <w:p w14:paraId="5A92AE80" w14:textId="77777777" w:rsidR="000846E8" w:rsidRPr="005719D0" w:rsidRDefault="000846E8" w:rsidP="00AF2CC9">
      <w:pPr>
        <w:pStyle w:val="BodyText"/>
        <w:widowControl w:val="0"/>
        <w:numPr>
          <w:ilvl w:val="0"/>
          <w:numId w:val="38"/>
        </w:numPr>
        <w:autoSpaceDE w:val="0"/>
        <w:autoSpaceDN w:val="0"/>
        <w:spacing w:before="119" w:after="0"/>
      </w:pPr>
      <w:r w:rsidRPr="005719D0">
        <w:t>current ownership and person of significant control - DfE must be notified where this has changed from a previous year</w:t>
      </w:r>
    </w:p>
    <w:p w14:paraId="483D3EF0" w14:textId="77777777" w:rsidR="000846E8" w:rsidRPr="005719D0" w:rsidRDefault="000846E8" w:rsidP="00AF2CC9">
      <w:pPr>
        <w:pStyle w:val="BodyText"/>
        <w:widowControl w:val="0"/>
        <w:numPr>
          <w:ilvl w:val="0"/>
          <w:numId w:val="38"/>
        </w:numPr>
        <w:autoSpaceDE w:val="0"/>
        <w:autoSpaceDN w:val="0"/>
        <w:spacing w:before="119" w:after="0"/>
      </w:pPr>
      <w:r w:rsidRPr="005719D0">
        <w:t>current or latest financial health position</w:t>
      </w:r>
    </w:p>
    <w:p w14:paraId="70A4603D" w14:textId="77777777" w:rsidR="000846E8" w:rsidRPr="005719D0" w:rsidRDefault="000846E8" w:rsidP="00AF2CC9">
      <w:pPr>
        <w:pStyle w:val="BodyText"/>
        <w:widowControl w:val="0"/>
        <w:numPr>
          <w:ilvl w:val="0"/>
          <w:numId w:val="38"/>
        </w:numPr>
        <w:autoSpaceDE w:val="0"/>
        <w:autoSpaceDN w:val="0"/>
        <w:spacing w:before="119" w:after="0"/>
      </w:pPr>
      <w:r w:rsidRPr="005719D0">
        <w:t>review of learning activity delivered, including compliance with the relevant funding rules for each programme</w:t>
      </w:r>
      <w:hyperlink r:id="rId11" w:anchor="fn:1" w:history="1"/>
    </w:p>
    <w:p w14:paraId="6D0D094E" w14:textId="77777777" w:rsidR="000846E8" w:rsidRPr="005719D0" w:rsidRDefault="000846E8" w:rsidP="00AF2CC9">
      <w:pPr>
        <w:pStyle w:val="BodyText"/>
        <w:widowControl w:val="0"/>
        <w:numPr>
          <w:ilvl w:val="0"/>
          <w:numId w:val="38"/>
        </w:numPr>
        <w:autoSpaceDE w:val="0"/>
        <w:autoSpaceDN w:val="0"/>
        <w:spacing w:before="119" w:after="0"/>
      </w:pPr>
      <w:r w:rsidRPr="005719D0">
        <w:t>business continuity or contingency plan remain relevant, or has been updated appropriately</w:t>
      </w:r>
    </w:p>
    <w:p w14:paraId="282AED00" w14:textId="77777777" w:rsidR="000846E8" w:rsidRPr="005719D0" w:rsidRDefault="000846E8" w:rsidP="00AF2CC9">
      <w:pPr>
        <w:pStyle w:val="BodyText"/>
        <w:widowControl w:val="0"/>
        <w:numPr>
          <w:ilvl w:val="0"/>
          <w:numId w:val="37"/>
        </w:numPr>
        <w:autoSpaceDE w:val="0"/>
        <w:autoSpaceDN w:val="0"/>
        <w:spacing w:before="119" w:after="0"/>
      </w:pPr>
      <w:r w:rsidRPr="005719D0">
        <w:t>The contract manager has clear visibility of the roles and responsibilities of staff on the subcontractor side.</w:t>
      </w:r>
    </w:p>
    <w:p w14:paraId="11D2CFA0" w14:textId="77777777" w:rsidR="000846E8" w:rsidRPr="005719D0" w:rsidRDefault="000846E8" w:rsidP="00AF2CC9">
      <w:pPr>
        <w:pStyle w:val="BodyText"/>
        <w:widowControl w:val="0"/>
        <w:numPr>
          <w:ilvl w:val="0"/>
          <w:numId w:val="37"/>
        </w:numPr>
        <w:autoSpaceDE w:val="0"/>
        <w:autoSpaceDN w:val="0"/>
        <w:spacing w:before="119" w:after="0"/>
      </w:pPr>
      <w:r w:rsidRPr="005719D0">
        <w:t>The respective responsibilities of the contract manager and the subcontractor are clear and potentially defined in a ‘joint statement of intent’, or similar document.</w:t>
      </w:r>
    </w:p>
    <w:p w14:paraId="5F73F08F" w14:textId="77777777" w:rsidR="000846E8" w:rsidRPr="005719D0" w:rsidRDefault="000846E8" w:rsidP="00AF2CC9">
      <w:pPr>
        <w:pStyle w:val="BodyText"/>
        <w:widowControl w:val="0"/>
        <w:numPr>
          <w:ilvl w:val="0"/>
          <w:numId w:val="37"/>
        </w:numPr>
        <w:autoSpaceDE w:val="0"/>
        <w:autoSpaceDN w:val="0"/>
        <w:spacing w:before="119" w:after="0"/>
      </w:pPr>
      <w:r w:rsidRPr="005719D0">
        <w:t>Continuity of key subcontractor staff is desirable (ideally through involvement during the sales process). Where this cannot be achieved, there must be a handover from the staff responsible for the tendering process.</w:t>
      </w:r>
    </w:p>
    <w:p w14:paraId="7DE08A11" w14:textId="77777777" w:rsidR="000846E8" w:rsidRPr="005719D0" w:rsidRDefault="000846E8" w:rsidP="00AF2CC9">
      <w:pPr>
        <w:pStyle w:val="BodyText"/>
        <w:widowControl w:val="0"/>
        <w:numPr>
          <w:ilvl w:val="0"/>
          <w:numId w:val="37"/>
        </w:numPr>
        <w:autoSpaceDE w:val="0"/>
        <w:autoSpaceDN w:val="0"/>
        <w:spacing w:before="119" w:after="0"/>
      </w:pPr>
      <w:r w:rsidRPr="005719D0">
        <w:t>Both regular structured and informal communication routes between the contract manager and subcontractor are open and used; customer and subcontractor staff are co-located, where appropriate.</w:t>
      </w:r>
    </w:p>
    <w:p w14:paraId="2A1DB280" w14:textId="77777777" w:rsidR="000846E8" w:rsidRPr="005719D0" w:rsidRDefault="000846E8" w:rsidP="00AF2CC9">
      <w:pPr>
        <w:pStyle w:val="BodyText"/>
        <w:widowControl w:val="0"/>
        <w:numPr>
          <w:ilvl w:val="0"/>
          <w:numId w:val="37"/>
        </w:numPr>
        <w:autoSpaceDE w:val="0"/>
        <w:autoSpaceDN w:val="0"/>
        <w:spacing w:before="119" w:after="0"/>
      </w:pPr>
      <w:r w:rsidRPr="005719D0">
        <w:t>Communications between the contract manager, subcontractor, and other stakeholders are effective and stakeholders are involved in contract management processes where appropriate.</w:t>
      </w:r>
    </w:p>
    <w:p w14:paraId="5055A9F2" w14:textId="77777777" w:rsidR="000846E8" w:rsidRPr="005719D0" w:rsidRDefault="000846E8" w:rsidP="00AF2CC9">
      <w:pPr>
        <w:pStyle w:val="BodyText"/>
        <w:widowControl w:val="0"/>
        <w:numPr>
          <w:ilvl w:val="0"/>
          <w:numId w:val="37"/>
        </w:numPr>
        <w:autoSpaceDE w:val="0"/>
        <w:autoSpaceDN w:val="0"/>
        <w:spacing w:before="119" w:after="0"/>
      </w:pPr>
      <w:r w:rsidRPr="005719D0">
        <w:t>Problem resolution processes are well defined and used - and are designed to ensure minor problems do not escalate and cause relationship issues, so a ‘blame culture’ is avoided.</w:t>
      </w:r>
    </w:p>
    <w:p w14:paraId="016593C4" w14:textId="77777777" w:rsidR="000846E8" w:rsidRDefault="000846E8" w:rsidP="000846E8">
      <w:pPr>
        <w:pStyle w:val="BodyText"/>
      </w:pPr>
    </w:p>
    <w:p w14:paraId="7B7F9896" w14:textId="77777777" w:rsidR="000846E8" w:rsidRPr="00726BFA" w:rsidRDefault="000846E8" w:rsidP="00AF2CC9">
      <w:pPr>
        <w:pStyle w:val="Heading2"/>
        <w:numPr>
          <w:ilvl w:val="0"/>
          <w:numId w:val="39"/>
        </w:numPr>
        <w:rPr>
          <w:b w:val="0"/>
          <w:bCs w:val="0"/>
          <w:szCs w:val="22"/>
        </w:rPr>
      </w:pPr>
      <w:r w:rsidRPr="00726BFA">
        <w:rPr>
          <w:szCs w:val="22"/>
        </w:rPr>
        <w:t>Managing Performance</w:t>
      </w:r>
    </w:p>
    <w:p w14:paraId="690DBAE6" w14:textId="77777777" w:rsidR="000846E8" w:rsidRPr="00D63B3B" w:rsidRDefault="000846E8" w:rsidP="000846E8">
      <w:pPr>
        <w:pStyle w:val="BodyText"/>
        <w:ind w:right="707"/>
      </w:pPr>
      <w:r w:rsidRPr="00D63B3B">
        <w:t>DfE’s expectation is that a prime will have processes and procedures in place to effectively manage subcontracted provision, you will be required to demonstrate that as a minimum:</w:t>
      </w:r>
    </w:p>
    <w:p w14:paraId="4EC7EA49" w14:textId="77777777" w:rsidR="000846E8" w:rsidRPr="00D63B3B" w:rsidRDefault="000846E8" w:rsidP="00AF2CC9">
      <w:pPr>
        <w:pStyle w:val="BodyText"/>
        <w:widowControl w:val="0"/>
        <w:numPr>
          <w:ilvl w:val="0"/>
          <w:numId w:val="40"/>
        </w:numPr>
        <w:autoSpaceDE w:val="0"/>
        <w:autoSpaceDN w:val="0"/>
        <w:spacing w:before="119" w:after="0"/>
        <w:ind w:right="707"/>
      </w:pPr>
      <w:r w:rsidRPr="00D63B3B">
        <w:t>Service management is well structured, baselines are understood by both parties, and subcontractors understand the service they are required to deliver. The contract manager ensures that the lead provider furnishes the subcontractor with the information and contacts needed to deliver the service.</w:t>
      </w:r>
    </w:p>
    <w:p w14:paraId="6673DF77" w14:textId="77777777" w:rsidR="000846E8" w:rsidRDefault="000846E8" w:rsidP="00AF2CC9">
      <w:pPr>
        <w:pStyle w:val="BodyText"/>
        <w:widowControl w:val="0"/>
        <w:numPr>
          <w:ilvl w:val="0"/>
          <w:numId w:val="40"/>
        </w:numPr>
        <w:autoSpaceDE w:val="0"/>
        <w:autoSpaceDN w:val="0"/>
        <w:spacing w:before="119" w:after="0"/>
        <w:ind w:right="707"/>
      </w:pPr>
      <w:r w:rsidRPr="00D63B3B">
        <w:t xml:space="preserve">Subcontractor performance is assessed using clear, objective, and meaningful metrics, </w:t>
      </w:r>
      <w:r w:rsidRPr="00D63B3B">
        <w:lastRenderedPageBreak/>
        <w:t>linked where appropriate to DfE’s funding rules and/or guidance and to business needs.</w:t>
      </w:r>
    </w:p>
    <w:p w14:paraId="0650B61F" w14:textId="77777777" w:rsidR="000846E8" w:rsidRPr="00D63B3B" w:rsidRDefault="000846E8" w:rsidP="00AF2CC9">
      <w:pPr>
        <w:pStyle w:val="BodyText"/>
        <w:widowControl w:val="0"/>
        <w:numPr>
          <w:ilvl w:val="0"/>
          <w:numId w:val="40"/>
        </w:numPr>
        <w:autoSpaceDE w:val="0"/>
        <w:autoSpaceDN w:val="0"/>
        <w:spacing w:before="119" w:after="0"/>
        <w:ind w:right="707"/>
      </w:pPr>
      <w:r w:rsidRPr="00D63B3B">
        <w:t>There are regular formal performance reviews with subcontractors, with documented improvement plans agreed where necessary. These cover both operational issues and adherence to key contractual requirements, for example, on data security. Feedback is collated from learners.</w:t>
      </w:r>
    </w:p>
    <w:p w14:paraId="6167673A" w14:textId="77777777" w:rsidR="000846E8" w:rsidRPr="00D63B3B" w:rsidRDefault="000846E8" w:rsidP="00AF2CC9">
      <w:pPr>
        <w:pStyle w:val="BodyText"/>
        <w:widowControl w:val="0"/>
        <w:numPr>
          <w:ilvl w:val="0"/>
          <w:numId w:val="40"/>
        </w:numPr>
        <w:autoSpaceDE w:val="0"/>
        <w:autoSpaceDN w:val="0"/>
        <w:spacing w:before="119" w:after="0"/>
        <w:ind w:right="707"/>
      </w:pPr>
      <w:r w:rsidRPr="00D63B3B">
        <w:t>There are clear contact points both within the subcontractor organisation and with the contract manager. All stakeholders understand escalation routes where issues arise.</w:t>
      </w:r>
    </w:p>
    <w:p w14:paraId="56EFFD1A" w14:textId="77777777" w:rsidR="000846E8" w:rsidRPr="00D63B3B" w:rsidRDefault="000846E8" w:rsidP="00AF2CC9">
      <w:pPr>
        <w:pStyle w:val="BodyText"/>
        <w:widowControl w:val="0"/>
        <w:numPr>
          <w:ilvl w:val="0"/>
          <w:numId w:val="40"/>
        </w:numPr>
        <w:autoSpaceDE w:val="0"/>
        <w:autoSpaceDN w:val="0"/>
        <w:spacing w:before="119" w:after="0"/>
        <w:ind w:right="707"/>
      </w:pPr>
      <w:r w:rsidRPr="00D63B3B">
        <w:t>Changes in requirements are captured and considered as part of formal change and contract management processes.</w:t>
      </w:r>
    </w:p>
    <w:p w14:paraId="4FCDB0E7" w14:textId="77777777" w:rsidR="000846E8" w:rsidRDefault="000846E8" w:rsidP="000846E8">
      <w:pPr>
        <w:pStyle w:val="BodyText"/>
        <w:ind w:right="707"/>
      </w:pPr>
    </w:p>
    <w:p w14:paraId="21085B52" w14:textId="77777777" w:rsidR="000846E8" w:rsidRPr="00726BFA" w:rsidRDefault="000846E8" w:rsidP="00AF2CC9">
      <w:pPr>
        <w:pStyle w:val="Heading2"/>
        <w:numPr>
          <w:ilvl w:val="0"/>
          <w:numId w:val="41"/>
        </w:numPr>
        <w:rPr>
          <w:b w:val="0"/>
          <w:bCs w:val="0"/>
          <w:szCs w:val="22"/>
        </w:rPr>
      </w:pPr>
      <w:r w:rsidRPr="00726BFA">
        <w:rPr>
          <w:szCs w:val="22"/>
        </w:rPr>
        <w:t>Payments and</w:t>
      </w:r>
      <w:r w:rsidRPr="00726BFA">
        <w:rPr>
          <w:spacing w:val="4"/>
          <w:szCs w:val="22"/>
        </w:rPr>
        <w:t xml:space="preserve"> </w:t>
      </w:r>
      <w:r w:rsidRPr="00726BFA">
        <w:rPr>
          <w:spacing w:val="-2"/>
          <w:szCs w:val="22"/>
        </w:rPr>
        <w:t>Incentives</w:t>
      </w:r>
    </w:p>
    <w:p w14:paraId="58A4249E" w14:textId="77777777" w:rsidR="000846E8" w:rsidRPr="004C36BA" w:rsidRDefault="000846E8" w:rsidP="000846E8">
      <w:pPr>
        <w:pStyle w:val="BodyText"/>
      </w:pPr>
      <w:r w:rsidRPr="004C36BA">
        <w:t>DfE’s expectation is that a lead provider will have sufficient processes and procedures in place to effectively monitor the financial payments in relation to their subcontracted provision. You will be required to demonstrate that as a minimum:</w:t>
      </w:r>
    </w:p>
    <w:p w14:paraId="2C1D9458" w14:textId="77777777" w:rsidR="000846E8" w:rsidRPr="004C36BA" w:rsidRDefault="000846E8" w:rsidP="00AF2CC9">
      <w:pPr>
        <w:pStyle w:val="BodyText"/>
        <w:widowControl w:val="0"/>
        <w:numPr>
          <w:ilvl w:val="0"/>
          <w:numId w:val="42"/>
        </w:numPr>
        <w:autoSpaceDE w:val="0"/>
        <w:autoSpaceDN w:val="0"/>
        <w:spacing w:before="119" w:after="0"/>
      </w:pPr>
      <w:r w:rsidRPr="004C36BA">
        <w:t>Payment mechanisms are documented and are clear and well understood by all parties, including incentives, penalties, and non-standard charges.</w:t>
      </w:r>
    </w:p>
    <w:p w14:paraId="05D0D0BC" w14:textId="77777777" w:rsidR="000846E8" w:rsidRPr="004C36BA" w:rsidRDefault="000846E8" w:rsidP="00AF2CC9">
      <w:pPr>
        <w:pStyle w:val="BodyText"/>
        <w:widowControl w:val="0"/>
        <w:numPr>
          <w:ilvl w:val="0"/>
          <w:numId w:val="42"/>
        </w:numPr>
        <w:autoSpaceDE w:val="0"/>
        <w:autoSpaceDN w:val="0"/>
        <w:spacing w:before="119" w:after="0"/>
      </w:pPr>
      <w:r w:rsidRPr="004C36BA">
        <w:t>Payment processes are well defined and efficient – appropriate checks and authorisation processes are in place for paying invoices.</w:t>
      </w:r>
    </w:p>
    <w:p w14:paraId="36E46AD4" w14:textId="77777777" w:rsidR="000846E8" w:rsidRPr="004C36BA" w:rsidRDefault="000846E8" w:rsidP="00AF2CC9">
      <w:pPr>
        <w:pStyle w:val="BodyText"/>
        <w:widowControl w:val="0"/>
        <w:numPr>
          <w:ilvl w:val="0"/>
          <w:numId w:val="42"/>
        </w:numPr>
        <w:autoSpaceDE w:val="0"/>
        <w:autoSpaceDN w:val="0"/>
        <w:spacing w:before="119" w:after="0"/>
      </w:pPr>
      <w:r w:rsidRPr="004C36BA">
        <w:t>The costs of the services delivered, and contract management costs are mapped against budgets and allocated appropriately.</w:t>
      </w:r>
    </w:p>
    <w:p w14:paraId="73E31922" w14:textId="77777777" w:rsidR="000846E8" w:rsidRPr="004C36BA" w:rsidRDefault="000846E8" w:rsidP="00AF2CC9">
      <w:pPr>
        <w:pStyle w:val="BodyText"/>
        <w:widowControl w:val="0"/>
        <w:numPr>
          <w:ilvl w:val="0"/>
          <w:numId w:val="42"/>
        </w:numPr>
        <w:autoSpaceDE w:val="0"/>
        <w:autoSpaceDN w:val="0"/>
        <w:spacing w:before="119" w:after="0"/>
      </w:pPr>
      <w:r w:rsidRPr="004C36BA">
        <w:t xml:space="preserve">Payment changes after the contract </w:t>
      </w:r>
      <w:proofErr w:type="gramStart"/>
      <w:r w:rsidRPr="004C36BA">
        <w:t>is</w:t>
      </w:r>
      <w:proofErr w:type="gramEnd"/>
      <w:r w:rsidRPr="004C36BA">
        <w:t xml:space="preserve"> let, for example from contract variations or benchmarking and market testing, are made using contractual provisions and demonstrated to provide value for money.</w:t>
      </w:r>
    </w:p>
    <w:p w14:paraId="6A48308C" w14:textId="77777777" w:rsidR="000846E8" w:rsidRPr="004C36BA" w:rsidRDefault="000846E8" w:rsidP="00AF2CC9">
      <w:pPr>
        <w:pStyle w:val="BodyText"/>
        <w:widowControl w:val="0"/>
        <w:numPr>
          <w:ilvl w:val="0"/>
          <w:numId w:val="42"/>
        </w:numPr>
        <w:autoSpaceDE w:val="0"/>
        <w:autoSpaceDN w:val="0"/>
        <w:spacing w:before="119" w:after="0"/>
      </w:pPr>
      <w:r w:rsidRPr="004C36BA">
        <w:t xml:space="preserve">Payments are not made in advance of evidence to demonstrate learning activity has been undertaken. </w:t>
      </w:r>
      <w:r w:rsidRPr="004C36BA">
        <w:t> </w:t>
      </w:r>
    </w:p>
    <w:p w14:paraId="6E7B6D28" w14:textId="77777777" w:rsidR="000846E8" w:rsidRPr="004C36BA" w:rsidRDefault="000846E8" w:rsidP="000846E8">
      <w:pPr>
        <w:tabs>
          <w:tab w:val="left" w:pos="1518"/>
          <w:tab w:val="left" w:pos="1519"/>
        </w:tabs>
        <w:spacing w:before="126" w:line="235" w:lineRule="auto"/>
        <w:ind w:right="756"/>
      </w:pPr>
    </w:p>
    <w:p w14:paraId="5CAAFDC5" w14:textId="77777777" w:rsidR="00400C6D" w:rsidRPr="00400C6D" w:rsidRDefault="000846E8" w:rsidP="00400C6D">
      <w:pPr>
        <w:pStyle w:val="Heading2"/>
        <w:numPr>
          <w:ilvl w:val="0"/>
          <w:numId w:val="43"/>
        </w:numPr>
        <w:rPr>
          <w:b w:val="0"/>
          <w:bCs w:val="0"/>
          <w:szCs w:val="22"/>
        </w:rPr>
      </w:pPr>
      <w:r w:rsidRPr="00726BFA">
        <w:rPr>
          <w:szCs w:val="22"/>
        </w:rPr>
        <w:t>Risk</w:t>
      </w:r>
      <w:r w:rsidRPr="00726BFA">
        <w:rPr>
          <w:spacing w:val="3"/>
          <w:szCs w:val="22"/>
        </w:rPr>
        <w:t xml:space="preserve"> </w:t>
      </w:r>
      <w:r w:rsidRPr="00726BFA">
        <w:rPr>
          <w:szCs w:val="22"/>
        </w:rPr>
        <w:t>Management</w:t>
      </w:r>
    </w:p>
    <w:p w14:paraId="736A0186" w14:textId="48D98AB4" w:rsidR="000846E8" w:rsidRPr="00400C6D" w:rsidRDefault="000846E8" w:rsidP="00400C6D">
      <w:proofErr w:type="gramStart"/>
      <w:r w:rsidRPr="0088489A">
        <w:t>In order to</w:t>
      </w:r>
      <w:proofErr w:type="gramEnd"/>
      <w:r w:rsidRPr="0088489A">
        <w:t xml:space="preserve"> provide assurance to DfE that you have effective risk management procedures in place to effectively manage the public money which is paid to subcontractors. As a minimum you will be expected to demonstrate that:</w:t>
      </w:r>
    </w:p>
    <w:p w14:paraId="44C95855" w14:textId="77777777" w:rsidR="000846E8" w:rsidRPr="0088489A" w:rsidRDefault="000846E8" w:rsidP="00AF2CC9">
      <w:pPr>
        <w:pStyle w:val="BodyText"/>
        <w:widowControl w:val="0"/>
        <w:numPr>
          <w:ilvl w:val="0"/>
          <w:numId w:val="45"/>
        </w:numPr>
        <w:autoSpaceDE w:val="0"/>
        <w:autoSpaceDN w:val="0"/>
        <w:spacing w:before="122" w:after="0"/>
        <w:ind w:right="203"/>
      </w:pPr>
      <w:r w:rsidRPr="0088489A">
        <w:t>Contractual/subcontractor risk management is in place with:</w:t>
      </w:r>
    </w:p>
    <w:p w14:paraId="7B4E8905" w14:textId="77777777" w:rsidR="000846E8" w:rsidRPr="0088489A" w:rsidRDefault="000846E8" w:rsidP="00AF2CC9">
      <w:pPr>
        <w:pStyle w:val="BodyText"/>
        <w:widowControl w:val="0"/>
        <w:numPr>
          <w:ilvl w:val="0"/>
          <w:numId w:val="46"/>
        </w:numPr>
        <w:autoSpaceDE w:val="0"/>
        <w:autoSpaceDN w:val="0"/>
        <w:spacing w:before="122" w:after="0"/>
        <w:ind w:right="203"/>
      </w:pPr>
      <w:r w:rsidRPr="0088489A">
        <w:t>clear responsibilities and processes</w:t>
      </w:r>
    </w:p>
    <w:p w14:paraId="0EEB8459" w14:textId="77777777" w:rsidR="000846E8" w:rsidRPr="0088489A" w:rsidRDefault="000846E8" w:rsidP="00AF2CC9">
      <w:pPr>
        <w:pStyle w:val="BodyText"/>
        <w:widowControl w:val="0"/>
        <w:numPr>
          <w:ilvl w:val="0"/>
          <w:numId w:val="46"/>
        </w:numPr>
        <w:autoSpaceDE w:val="0"/>
        <w:autoSpaceDN w:val="0"/>
        <w:spacing w:before="122" w:after="0"/>
        <w:ind w:right="203"/>
      </w:pPr>
      <w:r w:rsidRPr="0088489A">
        <w:t>identification of who is best placed to manage risk</w:t>
      </w:r>
    </w:p>
    <w:p w14:paraId="7C4103CC" w14:textId="77777777" w:rsidR="000846E8" w:rsidRPr="0088489A" w:rsidRDefault="000846E8" w:rsidP="00AF2CC9">
      <w:pPr>
        <w:pStyle w:val="BodyText"/>
        <w:widowControl w:val="0"/>
        <w:numPr>
          <w:ilvl w:val="0"/>
          <w:numId w:val="46"/>
        </w:numPr>
        <w:autoSpaceDE w:val="0"/>
        <w:autoSpaceDN w:val="0"/>
        <w:spacing w:before="122" w:after="0"/>
        <w:ind w:right="203"/>
      </w:pPr>
      <w:r w:rsidRPr="0088489A">
        <w:t>subcontractor involvement, where appropriate</w:t>
      </w:r>
    </w:p>
    <w:p w14:paraId="653BB586" w14:textId="77777777" w:rsidR="000846E8" w:rsidRPr="0088489A" w:rsidRDefault="000846E8" w:rsidP="00AF2CC9">
      <w:pPr>
        <w:pStyle w:val="BodyText"/>
        <w:widowControl w:val="0"/>
        <w:numPr>
          <w:ilvl w:val="0"/>
          <w:numId w:val="45"/>
        </w:numPr>
        <w:autoSpaceDE w:val="0"/>
        <w:autoSpaceDN w:val="0"/>
        <w:spacing w:before="122" w:after="0"/>
        <w:ind w:right="203"/>
      </w:pPr>
      <w:r w:rsidRPr="0088489A">
        <w:t>Risks are formally identified and monitored regularly, with mitigating actions developed and implemented, where possible, and ‘obsolete’ risks removed from consideration where appropriate.</w:t>
      </w:r>
    </w:p>
    <w:p w14:paraId="3EAFBECE" w14:textId="77777777" w:rsidR="000846E8" w:rsidRPr="0088489A" w:rsidRDefault="000846E8" w:rsidP="00AF2CC9">
      <w:pPr>
        <w:pStyle w:val="BodyText"/>
        <w:widowControl w:val="0"/>
        <w:numPr>
          <w:ilvl w:val="0"/>
          <w:numId w:val="45"/>
        </w:numPr>
        <w:autoSpaceDE w:val="0"/>
        <w:autoSpaceDN w:val="0"/>
        <w:spacing w:before="122" w:after="0"/>
        <w:ind w:right="203"/>
      </w:pPr>
      <w:r w:rsidRPr="0088489A">
        <w:t>Escalation and reporting routes are in place for risk governance.</w:t>
      </w:r>
    </w:p>
    <w:p w14:paraId="7737B89A" w14:textId="77777777" w:rsidR="000846E8" w:rsidRPr="0088489A" w:rsidRDefault="000846E8" w:rsidP="00AF2CC9">
      <w:pPr>
        <w:pStyle w:val="BodyText"/>
        <w:widowControl w:val="0"/>
        <w:numPr>
          <w:ilvl w:val="0"/>
          <w:numId w:val="45"/>
        </w:numPr>
        <w:autoSpaceDE w:val="0"/>
        <w:autoSpaceDN w:val="0"/>
        <w:spacing w:before="122" w:after="0"/>
        <w:ind w:right="203"/>
      </w:pPr>
      <w:r w:rsidRPr="0088489A">
        <w:t>Contingency plans are developed to handle subcontractor failure (temporary or long-term failure or default) and exit strategies are developed and updated through the life of the contract.</w:t>
      </w:r>
    </w:p>
    <w:p w14:paraId="2FB1EEFF" w14:textId="77777777" w:rsidR="000846E8" w:rsidRPr="0088489A" w:rsidRDefault="000846E8" w:rsidP="00AF2CC9">
      <w:pPr>
        <w:pStyle w:val="BodyText"/>
        <w:widowControl w:val="0"/>
        <w:numPr>
          <w:ilvl w:val="0"/>
          <w:numId w:val="45"/>
        </w:numPr>
        <w:autoSpaceDE w:val="0"/>
        <w:autoSpaceDN w:val="0"/>
        <w:spacing w:before="122" w:after="0"/>
        <w:ind w:right="203"/>
      </w:pPr>
      <w:r w:rsidRPr="0088489A">
        <w:t>Contractual terms are understood and monitored by the contract manager in relation to:</w:t>
      </w:r>
    </w:p>
    <w:p w14:paraId="582A7AA3" w14:textId="77777777" w:rsidR="000846E8" w:rsidRPr="0088489A" w:rsidRDefault="000846E8" w:rsidP="00AF2CC9">
      <w:pPr>
        <w:pStyle w:val="BodyText"/>
        <w:widowControl w:val="0"/>
        <w:numPr>
          <w:ilvl w:val="0"/>
          <w:numId w:val="44"/>
        </w:numPr>
        <w:autoSpaceDE w:val="0"/>
        <w:autoSpaceDN w:val="0"/>
        <w:spacing w:before="122" w:after="0"/>
        <w:ind w:right="203"/>
      </w:pPr>
      <w:r w:rsidRPr="0088489A">
        <w:t>termination</w:t>
      </w:r>
    </w:p>
    <w:p w14:paraId="70AF9C6C" w14:textId="77777777" w:rsidR="000846E8" w:rsidRPr="0088489A" w:rsidRDefault="000846E8" w:rsidP="00AF2CC9">
      <w:pPr>
        <w:pStyle w:val="BodyText"/>
        <w:widowControl w:val="0"/>
        <w:numPr>
          <w:ilvl w:val="0"/>
          <w:numId w:val="44"/>
        </w:numPr>
        <w:autoSpaceDE w:val="0"/>
        <w:autoSpaceDN w:val="0"/>
        <w:spacing w:before="122" w:after="0"/>
        <w:ind w:right="203"/>
      </w:pPr>
      <w:r w:rsidRPr="0088489A">
        <w:lastRenderedPageBreak/>
        <w:t>warranties, indemnities and insurance</w:t>
      </w:r>
    </w:p>
    <w:p w14:paraId="1C10D9F1" w14:textId="77777777" w:rsidR="000846E8" w:rsidRPr="0088489A" w:rsidRDefault="000846E8" w:rsidP="00AF2CC9">
      <w:pPr>
        <w:pStyle w:val="BodyText"/>
        <w:widowControl w:val="0"/>
        <w:numPr>
          <w:ilvl w:val="0"/>
          <w:numId w:val="44"/>
        </w:numPr>
        <w:autoSpaceDE w:val="0"/>
        <w:autoSpaceDN w:val="0"/>
        <w:spacing w:before="122" w:after="0"/>
        <w:ind w:right="203"/>
      </w:pPr>
      <w:r w:rsidRPr="0088489A">
        <w:t>security and confidentiality</w:t>
      </w:r>
    </w:p>
    <w:p w14:paraId="4D85AC05" w14:textId="77777777" w:rsidR="000846E8" w:rsidRPr="0088489A" w:rsidRDefault="000846E8" w:rsidP="00AF2CC9">
      <w:pPr>
        <w:pStyle w:val="BodyText"/>
        <w:widowControl w:val="0"/>
        <w:numPr>
          <w:ilvl w:val="0"/>
          <w:numId w:val="45"/>
        </w:numPr>
        <w:autoSpaceDE w:val="0"/>
        <w:autoSpaceDN w:val="0"/>
        <w:spacing w:before="122" w:after="0"/>
        <w:ind w:right="203"/>
      </w:pPr>
      <w:r w:rsidRPr="0088489A">
        <w:t>The contract manager monitors the subcontractor’s financial health and business performance, including using credit rating agencies.</w:t>
      </w:r>
    </w:p>
    <w:p w14:paraId="1C2521DF" w14:textId="77777777" w:rsidR="000846E8" w:rsidRDefault="000846E8" w:rsidP="000846E8">
      <w:pPr>
        <w:pStyle w:val="BodyText"/>
        <w:spacing w:before="122"/>
        <w:ind w:right="203"/>
      </w:pPr>
    </w:p>
    <w:p w14:paraId="04AB1BC5" w14:textId="77777777" w:rsidR="00400C6D" w:rsidRPr="00400C6D" w:rsidRDefault="000846E8" w:rsidP="00400C6D">
      <w:pPr>
        <w:pStyle w:val="Heading2"/>
        <w:numPr>
          <w:ilvl w:val="0"/>
          <w:numId w:val="47"/>
        </w:numPr>
        <w:rPr>
          <w:b w:val="0"/>
          <w:bCs w:val="0"/>
          <w:szCs w:val="22"/>
        </w:rPr>
      </w:pPr>
      <w:r w:rsidRPr="00726BFA">
        <w:rPr>
          <w:szCs w:val="22"/>
        </w:rPr>
        <w:t>Contract</w:t>
      </w:r>
      <w:r w:rsidRPr="00726BFA">
        <w:rPr>
          <w:spacing w:val="-2"/>
          <w:szCs w:val="22"/>
        </w:rPr>
        <w:t xml:space="preserve"> </w:t>
      </w:r>
      <w:r w:rsidRPr="00726BFA">
        <w:rPr>
          <w:szCs w:val="22"/>
        </w:rPr>
        <w:t>Development</w:t>
      </w:r>
      <w:r w:rsidRPr="00726BFA">
        <w:rPr>
          <w:spacing w:val="-2"/>
          <w:szCs w:val="22"/>
        </w:rPr>
        <w:t xml:space="preserve"> </w:t>
      </w:r>
      <w:r w:rsidRPr="00726BFA">
        <w:rPr>
          <w:szCs w:val="22"/>
        </w:rPr>
        <w:t>and/or</w:t>
      </w:r>
      <w:r w:rsidRPr="00726BFA">
        <w:rPr>
          <w:spacing w:val="-3"/>
          <w:szCs w:val="22"/>
        </w:rPr>
        <w:t xml:space="preserve"> </w:t>
      </w:r>
      <w:r w:rsidRPr="00726BFA">
        <w:rPr>
          <w:spacing w:val="-2"/>
          <w:szCs w:val="22"/>
        </w:rPr>
        <w:t>Termination</w:t>
      </w:r>
    </w:p>
    <w:p w14:paraId="771D01F5" w14:textId="2B4EAF62" w:rsidR="000846E8" w:rsidRPr="00400C6D" w:rsidRDefault="000846E8" w:rsidP="00400C6D">
      <w:proofErr w:type="gramStart"/>
      <w:r w:rsidRPr="005A3C31">
        <w:t>In order to</w:t>
      </w:r>
      <w:proofErr w:type="gramEnd"/>
      <w:r w:rsidRPr="005A3C31">
        <w:t xml:space="preserve"> ensure that changes to the contract or termination are handled appropriately and efficiently the lead provider must ensure that:</w:t>
      </w:r>
    </w:p>
    <w:p w14:paraId="2EE0F8EF" w14:textId="77777777" w:rsidR="000846E8" w:rsidRPr="005A3C31" w:rsidRDefault="000846E8" w:rsidP="00AF2CC9">
      <w:pPr>
        <w:pStyle w:val="BodyText"/>
        <w:widowControl w:val="0"/>
        <w:numPr>
          <w:ilvl w:val="0"/>
          <w:numId w:val="48"/>
        </w:numPr>
        <w:autoSpaceDE w:val="0"/>
        <w:autoSpaceDN w:val="0"/>
        <w:spacing w:before="122" w:after="0"/>
        <w:ind w:right="150"/>
      </w:pPr>
      <w:r w:rsidRPr="005A3C31">
        <w:t>Analysis of the subcontracted activity is done each year to inform the progress made in their plans for a reduction across the 3-year period.</w:t>
      </w:r>
    </w:p>
    <w:p w14:paraId="07BAB614" w14:textId="77777777" w:rsidR="000846E8" w:rsidRPr="005A3C31" w:rsidRDefault="000846E8" w:rsidP="00AF2CC9">
      <w:pPr>
        <w:pStyle w:val="BodyText"/>
        <w:widowControl w:val="0"/>
        <w:numPr>
          <w:ilvl w:val="0"/>
          <w:numId w:val="48"/>
        </w:numPr>
        <w:autoSpaceDE w:val="0"/>
        <w:autoSpaceDN w:val="0"/>
        <w:spacing w:before="122" w:after="0"/>
        <w:ind w:right="150"/>
      </w:pPr>
      <w:r w:rsidRPr="005A3C31">
        <w:t>They review the subcontract regularly (with a view to updating where necessary) to ensure it meets evolving business and educational needs.</w:t>
      </w:r>
    </w:p>
    <w:p w14:paraId="20E7DB29" w14:textId="77777777" w:rsidR="000846E8" w:rsidRPr="005A3C31" w:rsidRDefault="000846E8" w:rsidP="00AF2CC9">
      <w:pPr>
        <w:pStyle w:val="BodyText"/>
        <w:widowControl w:val="0"/>
        <w:numPr>
          <w:ilvl w:val="0"/>
          <w:numId w:val="48"/>
        </w:numPr>
        <w:autoSpaceDE w:val="0"/>
        <w:autoSpaceDN w:val="0"/>
        <w:spacing w:before="122" w:after="0"/>
        <w:ind w:right="150"/>
      </w:pPr>
      <w:r w:rsidRPr="005A3C31">
        <w:t>Processes are in place that clearly lay out the governance of contractual change for both minor and major changes – who needs to approve what and how it will happen – with a focus on effective and prompt change implementation.</w:t>
      </w:r>
    </w:p>
    <w:p w14:paraId="79CF68B7" w14:textId="77777777" w:rsidR="000846E8" w:rsidRPr="005A3C31" w:rsidRDefault="000846E8" w:rsidP="00AF2CC9">
      <w:pPr>
        <w:pStyle w:val="BodyText"/>
        <w:widowControl w:val="0"/>
        <w:numPr>
          <w:ilvl w:val="0"/>
          <w:numId w:val="48"/>
        </w:numPr>
        <w:autoSpaceDE w:val="0"/>
        <w:autoSpaceDN w:val="0"/>
        <w:spacing w:before="122" w:after="0"/>
        <w:ind w:right="150"/>
      </w:pPr>
      <w:r w:rsidRPr="005A3C31">
        <w:t>Value for money testing of existing services is done through benchmarking or other processes, where appropriate).</w:t>
      </w:r>
    </w:p>
    <w:p w14:paraId="24F136DC" w14:textId="77777777" w:rsidR="000846E8" w:rsidRPr="005A3C31" w:rsidRDefault="000846E8" w:rsidP="00AF2CC9">
      <w:pPr>
        <w:pStyle w:val="BodyText"/>
        <w:widowControl w:val="0"/>
        <w:numPr>
          <w:ilvl w:val="0"/>
          <w:numId w:val="48"/>
        </w:numPr>
        <w:autoSpaceDE w:val="0"/>
        <w:autoSpaceDN w:val="0"/>
        <w:spacing w:before="122" w:after="0"/>
        <w:ind w:right="150"/>
      </w:pPr>
      <w:r w:rsidRPr="005A3C31">
        <w:t>There are processes to cover the introduction of new services under the contract, including market testing where necessary.</w:t>
      </w:r>
    </w:p>
    <w:p w14:paraId="54D24B7F" w14:textId="77777777" w:rsidR="000846E8" w:rsidRPr="005A3C31" w:rsidRDefault="000846E8" w:rsidP="00AF2CC9">
      <w:pPr>
        <w:pStyle w:val="BodyText"/>
        <w:widowControl w:val="0"/>
        <w:numPr>
          <w:ilvl w:val="0"/>
          <w:numId w:val="48"/>
        </w:numPr>
        <w:autoSpaceDE w:val="0"/>
        <w:autoSpaceDN w:val="0"/>
        <w:spacing w:before="122" w:after="0"/>
        <w:ind w:right="150"/>
      </w:pPr>
      <w:r w:rsidRPr="005A3C31">
        <w:t>Processes are in place to handle commercial (financial) changes to the contract in a fair and structured manner.</w:t>
      </w:r>
    </w:p>
    <w:p w14:paraId="22A71C1C" w14:textId="77777777" w:rsidR="000846E8" w:rsidRDefault="000846E8" w:rsidP="000846E8">
      <w:pPr>
        <w:pStyle w:val="BodyText"/>
        <w:spacing w:before="122"/>
        <w:ind w:right="150"/>
      </w:pPr>
    </w:p>
    <w:p w14:paraId="7FEE10E5" w14:textId="77777777" w:rsidR="000846E8" w:rsidRPr="00726BFA" w:rsidRDefault="000846E8" w:rsidP="00AF2CC9">
      <w:pPr>
        <w:pStyle w:val="Heading2"/>
        <w:numPr>
          <w:ilvl w:val="0"/>
          <w:numId w:val="49"/>
        </w:numPr>
        <w:rPr>
          <w:b w:val="0"/>
          <w:bCs w:val="0"/>
          <w:szCs w:val="22"/>
        </w:rPr>
      </w:pPr>
      <w:r>
        <w:rPr>
          <w:szCs w:val="22"/>
        </w:rPr>
        <w:t>Provider</w:t>
      </w:r>
      <w:r w:rsidRPr="00726BFA">
        <w:rPr>
          <w:spacing w:val="5"/>
          <w:szCs w:val="22"/>
        </w:rPr>
        <w:t xml:space="preserve"> </w:t>
      </w:r>
      <w:r w:rsidRPr="00726BFA">
        <w:rPr>
          <w:szCs w:val="22"/>
        </w:rPr>
        <w:t>Development</w:t>
      </w:r>
    </w:p>
    <w:p w14:paraId="6B0B2044" w14:textId="77777777" w:rsidR="000846E8" w:rsidRPr="00AF3E79" w:rsidRDefault="000846E8" w:rsidP="000846E8">
      <w:pPr>
        <w:pStyle w:val="BodyText"/>
        <w:ind w:right="707"/>
      </w:pPr>
      <w:r w:rsidRPr="00AF3E79">
        <w:t>Improving provider performance and capability is important in developing the relationship with subcontractors. Lead providers must demonstrate that they have:</w:t>
      </w:r>
    </w:p>
    <w:p w14:paraId="24E1D34E" w14:textId="77777777" w:rsidR="000846E8" w:rsidRPr="00AF3E79" w:rsidRDefault="000846E8" w:rsidP="00AF2CC9">
      <w:pPr>
        <w:pStyle w:val="BodyText"/>
        <w:widowControl w:val="0"/>
        <w:numPr>
          <w:ilvl w:val="0"/>
          <w:numId w:val="50"/>
        </w:numPr>
        <w:autoSpaceDE w:val="0"/>
        <w:autoSpaceDN w:val="0"/>
        <w:spacing w:before="119" w:after="0"/>
        <w:ind w:right="707"/>
      </w:pPr>
      <w:r w:rsidRPr="00AF3E79">
        <w:t>Processes in place that clearly set out how provider development activities will be planned, managed, and governed.</w:t>
      </w:r>
    </w:p>
    <w:p w14:paraId="067421E5" w14:textId="77777777" w:rsidR="000846E8" w:rsidRPr="00AF3E79" w:rsidRDefault="000846E8" w:rsidP="00AF2CC9">
      <w:pPr>
        <w:pStyle w:val="BodyText"/>
        <w:widowControl w:val="0"/>
        <w:numPr>
          <w:ilvl w:val="0"/>
          <w:numId w:val="50"/>
        </w:numPr>
        <w:autoSpaceDE w:val="0"/>
        <w:autoSpaceDN w:val="0"/>
        <w:spacing w:before="119" w:after="0"/>
        <w:ind w:right="707"/>
      </w:pPr>
      <w:r w:rsidRPr="00AF3E79">
        <w:t>Clear processes for benefits measurement and capture are in place to ensure that provider development is focused on continuous improvement and achieving value for the lead provider.</w:t>
      </w:r>
    </w:p>
    <w:p w14:paraId="3044F767" w14:textId="77777777" w:rsidR="000846E8" w:rsidRPr="00AF3E79" w:rsidRDefault="000846E8" w:rsidP="00AF2CC9">
      <w:pPr>
        <w:pStyle w:val="BodyText"/>
        <w:widowControl w:val="0"/>
        <w:numPr>
          <w:ilvl w:val="0"/>
          <w:numId w:val="50"/>
        </w:numPr>
        <w:autoSpaceDE w:val="0"/>
        <w:autoSpaceDN w:val="0"/>
        <w:spacing w:before="119" w:after="0"/>
        <w:ind w:right="707"/>
      </w:pPr>
      <w:r w:rsidRPr="00AF3E79">
        <w:t>An understanding of what motivates and drives the subcontractor and how provider development fits with the provider’s goals.</w:t>
      </w:r>
    </w:p>
    <w:p w14:paraId="60D40082" w14:textId="77777777" w:rsidR="000846E8" w:rsidRPr="00AF3E79" w:rsidRDefault="000846E8" w:rsidP="00AF2CC9">
      <w:pPr>
        <w:pStyle w:val="BodyText"/>
        <w:widowControl w:val="0"/>
        <w:numPr>
          <w:ilvl w:val="0"/>
          <w:numId w:val="50"/>
        </w:numPr>
        <w:autoSpaceDE w:val="0"/>
        <w:autoSpaceDN w:val="0"/>
        <w:spacing w:before="119" w:after="0"/>
        <w:ind w:right="707"/>
      </w:pPr>
      <w:r w:rsidRPr="00AF3E79">
        <w:t>Put provider operational performance improvement activities (for example, ‘Lean’ and ‘6-sigma’) in place, with potential input or assistance given by the lead provider.</w:t>
      </w:r>
    </w:p>
    <w:p w14:paraId="4024701D" w14:textId="77777777" w:rsidR="000846E8" w:rsidRPr="00AF3E79" w:rsidRDefault="000846E8" w:rsidP="00AF2CC9">
      <w:pPr>
        <w:pStyle w:val="BodyText"/>
        <w:widowControl w:val="0"/>
        <w:numPr>
          <w:ilvl w:val="0"/>
          <w:numId w:val="50"/>
        </w:numPr>
        <w:autoSpaceDE w:val="0"/>
        <w:autoSpaceDN w:val="0"/>
        <w:spacing w:before="119" w:after="0"/>
        <w:ind w:right="707"/>
      </w:pPr>
      <w:r w:rsidRPr="00AF3E79">
        <w:t>Joint working or shared activities between the 2 parties for the benefit of both the provider and subcontractor, for example, process improvement, shared training, task forces or joint project team.</w:t>
      </w:r>
    </w:p>
    <w:p w14:paraId="50EDF029" w14:textId="77777777" w:rsidR="000846E8" w:rsidRPr="00AF3E79" w:rsidRDefault="000846E8" w:rsidP="00AF2CC9">
      <w:pPr>
        <w:pStyle w:val="BodyText"/>
        <w:widowControl w:val="0"/>
        <w:numPr>
          <w:ilvl w:val="0"/>
          <w:numId w:val="50"/>
        </w:numPr>
        <w:autoSpaceDE w:val="0"/>
        <w:autoSpaceDN w:val="0"/>
        <w:spacing w:before="119" w:after="0"/>
        <w:ind w:right="707"/>
      </w:pPr>
      <w:r w:rsidRPr="00AF3E79">
        <w:t>Implemented provider improvement activities relating to wider government initiatives, with input or assistance given by the lead provider, for example on:</w:t>
      </w:r>
    </w:p>
    <w:p w14:paraId="532336C0" w14:textId="77777777" w:rsidR="000846E8" w:rsidRPr="00AF3E79" w:rsidRDefault="000846E8" w:rsidP="00AF2CC9">
      <w:pPr>
        <w:pStyle w:val="BodyText"/>
        <w:widowControl w:val="0"/>
        <w:numPr>
          <w:ilvl w:val="0"/>
          <w:numId w:val="51"/>
        </w:numPr>
        <w:autoSpaceDE w:val="0"/>
        <w:autoSpaceDN w:val="0"/>
        <w:spacing w:before="119" w:after="0"/>
        <w:ind w:right="707"/>
      </w:pPr>
      <w:r w:rsidRPr="00AF3E79">
        <w:t>sustainability</w:t>
      </w:r>
    </w:p>
    <w:p w14:paraId="08F84622" w14:textId="77777777" w:rsidR="000846E8" w:rsidRPr="00AF3E79" w:rsidRDefault="000846E8" w:rsidP="00AF2CC9">
      <w:pPr>
        <w:pStyle w:val="BodyText"/>
        <w:widowControl w:val="0"/>
        <w:numPr>
          <w:ilvl w:val="0"/>
          <w:numId w:val="51"/>
        </w:numPr>
        <w:autoSpaceDE w:val="0"/>
        <w:autoSpaceDN w:val="0"/>
        <w:spacing w:before="119" w:after="0"/>
        <w:ind w:right="707"/>
      </w:pPr>
      <w:r w:rsidRPr="00AF3E79">
        <w:t>disability employment issues</w:t>
      </w:r>
    </w:p>
    <w:p w14:paraId="37A74CC9" w14:textId="77777777" w:rsidR="000846E8" w:rsidRPr="00AF3E79" w:rsidRDefault="000846E8" w:rsidP="00AF2CC9">
      <w:pPr>
        <w:pStyle w:val="BodyText"/>
        <w:widowControl w:val="0"/>
        <w:numPr>
          <w:ilvl w:val="0"/>
          <w:numId w:val="51"/>
        </w:numPr>
        <w:autoSpaceDE w:val="0"/>
        <w:autoSpaceDN w:val="0"/>
        <w:spacing w:before="119" w:after="0"/>
        <w:ind w:right="707"/>
      </w:pPr>
      <w:r w:rsidRPr="00AF3E79">
        <w:t>use of small and medium sized enterprises and suppliers from ethnic minority backgrounds</w:t>
      </w:r>
    </w:p>
    <w:p w14:paraId="28398AF8" w14:textId="77777777" w:rsidR="000846E8" w:rsidRPr="00AF3E79" w:rsidRDefault="000846E8" w:rsidP="00AF2CC9">
      <w:pPr>
        <w:pStyle w:val="BodyText"/>
        <w:widowControl w:val="0"/>
        <w:numPr>
          <w:ilvl w:val="0"/>
          <w:numId w:val="50"/>
        </w:numPr>
        <w:autoSpaceDE w:val="0"/>
        <w:autoSpaceDN w:val="0"/>
        <w:spacing w:before="119" w:after="0"/>
        <w:ind w:right="707"/>
      </w:pPr>
      <w:r w:rsidRPr="00AF3E79">
        <w:lastRenderedPageBreak/>
        <w:t>Developed shared risk reduction programmes or activities.</w:t>
      </w:r>
    </w:p>
    <w:p w14:paraId="42951EAA" w14:textId="77777777" w:rsidR="000846E8" w:rsidRPr="00AF3E79" w:rsidRDefault="000846E8" w:rsidP="00AF2CC9">
      <w:pPr>
        <w:pStyle w:val="BodyText"/>
        <w:widowControl w:val="0"/>
        <w:numPr>
          <w:ilvl w:val="0"/>
          <w:numId w:val="50"/>
        </w:numPr>
        <w:autoSpaceDE w:val="0"/>
        <w:autoSpaceDN w:val="0"/>
        <w:spacing w:before="119" w:after="0"/>
        <w:ind w:right="707"/>
      </w:pPr>
      <w:r w:rsidRPr="00AF3E79">
        <w:t>Completed shared management activities, for example, provider boards, to help performance improvement.</w:t>
      </w:r>
      <w:r w:rsidRPr="00AF3E79">
        <w:t> </w:t>
      </w:r>
    </w:p>
    <w:p w14:paraId="162CEC57" w14:textId="77777777" w:rsidR="009D2BD0" w:rsidRPr="000822F3" w:rsidRDefault="009D2BD0" w:rsidP="00B32530"/>
    <w:p w14:paraId="2939A74E" w14:textId="77777777" w:rsidR="009C3E23" w:rsidRPr="000822F3" w:rsidRDefault="009C3E23">
      <w:pPr>
        <w:spacing w:after="200"/>
        <w:rPr>
          <w:rFonts w:eastAsiaTheme="majorEastAsia" w:cstheme="majorBidi"/>
          <w:b/>
          <w:bCs/>
          <w:caps/>
        </w:rPr>
      </w:pPr>
      <w:r w:rsidRPr="000822F3">
        <w:br w:type="page"/>
      </w:r>
    </w:p>
    <w:p w14:paraId="4DF2D235" w14:textId="371322A6" w:rsidR="009C3E23" w:rsidRPr="000822F3" w:rsidRDefault="009C3E23" w:rsidP="009C3E23">
      <w:pPr>
        <w:pStyle w:val="Heading1"/>
      </w:pPr>
      <w:r w:rsidRPr="000822F3">
        <w:lastRenderedPageBreak/>
        <w:t xml:space="preserve">Appendix </w:t>
      </w:r>
      <w:r w:rsidR="00D56DEB" w:rsidRPr="000822F3">
        <w:t>2</w:t>
      </w:r>
      <w:r w:rsidRPr="000822F3">
        <w:t xml:space="preserve"> – Subcontracting Contingency Plan</w:t>
      </w:r>
    </w:p>
    <w:p w14:paraId="794101E6" w14:textId="77777777" w:rsidR="009C3E23" w:rsidRPr="000822F3" w:rsidRDefault="009C3E23" w:rsidP="00B32530"/>
    <w:p w14:paraId="2C1ECA4E" w14:textId="77777777" w:rsidR="00201AD9" w:rsidRPr="000822F3" w:rsidRDefault="00201AD9" w:rsidP="00201AD9">
      <w:pPr>
        <w:pStyle w:val="Heading2"/>
      </w:pPr>
      <w:r w:rsidRPr="000822F3">
        <w:t>Context</w:t>
      </w:r>
    </w:p>
    <w:p w14:paraId="3443DBFE" w14:textId="43E62B67" w:rsidR="00201AD9" w:rsidRPr="000822F3" w:rsidRDefault="00201AD9" w:rsidP="00201AD9">
      <w:r w:rsidRPr="000822F3">
        <w:t xml:space="preserve">Barnsley College (the College) is a lead provider with a direct contractual relationship with the </w:t>
      </w:r>
      <w:r w:rsidR="008E6F47">
        <w:t>Department for Education</w:t>
      </w:r>
      <w:r w:rsidRPr="000822F3">
        <w:t xml:space="preserve"> (</w:t>
      </w:r>
      <w:r w:rsidR="008E6F47">
        <w:t>D</w:t>
      </w:r>
      <w:r w:rsidR="00823F98">
        <w:t>f</w:t>
      </w:r>
      <w:r w:rsidR="008E6F47">
        <w:t>E</w:t>
      </w:r>
      <w:r w:rsidRPr="000822F3">
        <w:t>), South Yorkshire Mayoral Combined Authority (SYMCA) and West Yorkshire Combined Authority (WYCA).  The College recognises that subcontracting has an important role to play in delivering high-quality teaching and learning.</w:t>
      </w:r>
    </w:p>
    <w:p w14:paraId="2A5B67F5" w14:textId="77777777" w:rsidR="00201AD9" w:rsidRPr="000822F3" w:rsidRDefault="00201AD9" w:rsidP="00201AD9"/>
    <w:p w14:paraId="0FAFDCD3" w14:textId="77777777" w:rsidR="00201AD9" w:rsidRPr="000822F3" w:rsidRDefault="00201AD9" w:rsidP="00201AD9">
      <w:pPr>
        <w:pStyle w:val="Heading2"/>
      </w:pPr>
      <w:r w:rsidRPr="000822F3">
        <w:t>Terminology</w:t>
      </w:r>
    </w:p>
    <w:p w14:paraId="68B754AE" w14:textId="7728FA7C" w:rsidR="00201AD9" w:rsidRPr="000822F3" w:rsidRDefault="00201AD9" w:rsidP="00201AD9">
      <w:r w:rsidRPr="000822F3">
        <w:t xml:space="preserve">A lead provider is a college, training organisation or employer that has a direct contractual relationship with the </w:t>
      </w:r>
      <w:r w:rsidR="008E6F47">
        <w:t>D</w:t>
      </w:r>
      <w:r w:rsidR="00823F98">
        <w:t>f</w:t>
      </w:r>
      <w:r w:rsidR="008E6F47">
        <w:t>E</w:t>
      </w:r>
      <w:r w:rsidRPr="000822F3">
        <w:t>.</w:t>
      </w:r>
    </w:p>
    <w:p w14:paraId="5C3882BB" w14:textId="77777777" w:rsidR="00201AD9" w:rsidRPr="000822F3" w:rsidRDefault="00201AD9" w:rsidP="00201AD9"/>
    <w:p w14:paraId="7EFC32DF" w14:textId="5DEBC6F5" w:rsidR="00201AD9" w:rsidRPr="000822F3" w:rsidRDefault="00201AD9" w:rsidP="00201AD9">
      <w:r w:rsidRPr="000822F3">
        <w:t xml:space="preserve">A </w:t>
      </w:r>
      <w:r w:rsidR="00D2380A">
        <w:t>subcontractor</w:t>
      </w:r>
      <w:r w:rsidRPr="000822F3">
        <w:t xml:space="preserve"> is an organisation that is engaged in a contractual and legally binding arrangement with one or more lead providers, to deliver education and training provision that the </w:t>
      </w:r>
      <w:r w:rsidR="008E6F47">
        <w:t>D</w:t>
      </w:r>
      <w:r w:rsidR="00823F98">
        <w:t>f</w:t>
      </w:r>
      <w:r w:rsidR="008E6F47">
        <w:t>E</w:t>
      </w:r>
      <w:r w:rsidRPr="000822F3">
        <w:t xml:space="preserve"> funds via a lead provider.</w:t>
      </w:r>
    </w:p>
    <w:p w14:paraId="2C388747" w14:textId="77777777" w:rsidR="00201AD9" w:rsidRPr="000822F3" w:rsidRDefault="00201AD9" w:rsidP="00201AD9"/>
    <w:p w14:paraId="0FAA88C9" w14:textId="77777777" w:rsidR="00201AD9" w:rsidRPr="000822F3" w:rsidRDefault="00201AD9" w:rsidP="00201AD9">
      <w:pPr>
        <w:pStyle w:val="Heading2"/>
      </w:pPr>
      <w:r w:rsidRPr="000822F3">
        <w:t>Scope</w:t>
      </w:r>
    </w:p>
    <w:p w14:paraId="1C4E4044" w14:textId="77777777" w:rsidR="00201AD9" w:rsidRPr="000822F3" w:rsidRDefault="00201AD9" w:rsidP="00201AD9">
      <w:r w:rsidRPr="000822F3">
        <w:t>This policy applies to all ‘delivery subcontracting’ activity undertaken by the College.</w:t>
      </w:r>
    </w:p>
    <w:p w14:paraId="010441DB" w14:textId="77777777" w:rsidR="00201AD9" w:rsidRPr="000822F3" w:rsidRDefault="00201AD9" w:rsidP="00201AD9"/>
    <w:p w14:paraId="1B5F172C" w14:textId="77777777" w:rsidR="00201AD9" w:rsidRPr="000822F3" w:rsidRDefault="00201AD9" w:rsidP="00201AD9">
      <w:r w:rsidRPr="000822F3">
        <w:t>This policy applies to all provision where all or elements of the programme are delivered by an external organisation, but where overall responsibility is retained by the College.</w:t>
      </w:r>
    </w:p>
    <w:p w14:paraId="2A08B7B2" w14:textId="77777777" w:rsidR="00201AD9" w:rsidRPr="000822F3" w:rsidRDefault="00201AD9" w:rsidP="00201AD9"/>
    <w:p w14:paraId="2B7BFC4C" w14:textId="77777777" w:rsidR="00201AD9" w:rsidRPr="000822F3" w:rsidRDefault="00201AD9" w:rsidP="00201AD9">
      <w:pPr>
        <w:pStyle w:val="Heading2"/>
      </w:pPr>
      <w:r w:rsidRPr="000822F3">
        <w:t>Plan</w:t>
      </w:r>
    </w:p>
    <w:p w14:paraId="4E8ABC86" w14:textId="77777777" w:rsidR="00201AD9" w:rsidRPr="000822F3" w:rsidRDefault="00201AD9" w:rsidP="00201AD9">
      <w:r w:rsidRPr="000822F3">
        <w:t xml:space="preserve">The College will take steps to ensure that provision is made to preserve the continuity of the provision and that learners involved are able to complete their qualification and/or training to a high quality. The College’s overall aim is to reduce the inconvenience to learners and maximise their achievement and learning outcome. </w:t>
      </w:r>
    </w:p>
    <w:p w14:paraId="3B6F38C2" w14:textId="77777777" w:rsidR="00201AD9" w:rsidRPr="000822F3" w:rsidRDefault="00201AD9" w:rsidP="00201AD9"/>
    <w:p w14:paraId="34E144FE" w14:textId="33614FF4" w:rsidR="00201AD9" w:rsidRPr="000822F3" w:rsidRDefault="00201AD9" w:rsidP="00201AD9">
      <w:r w:rsidRPr="000822F3">
        <w:t xml:space="preserve">Following withdrawal from a contract the next step would be for senior managers to hold a planning meeting and determine the best way forward. The </w:t>
      </w:r>
      <w:r w:rsidR="00B92144">
        <w:t>Partner</w:t>
      </w:r>
      <w:r w:rsidRPr="000822F3">
        <w:t xml:space="preserve"> may also be invited to the planned meeting.  Learners are the responsibility of Barnsley College, and they would be the primary focus of any contingency plan.</w:t>
      </w:r>
    </w:p>
    <w:p w14:paraId="412087EF" w14:textId="77777777" w:rsidR="00201AD9" w:rsidRPr="000822F3" w:rsidRDefault="00201AD9" w:rsidP="00201AD9"/>
    <w:p w14:paraId="180BB67D" w14:textId="77777777" w:rsidR="00201AD9" w:rsidRPr="000822F3" w:rsidRDefault="00201AD9" w:rsidP="00201AD9">
      <w:r w:rsidRPr="000822F3">
        <w:t>The College will use the following plan:</w:t>
      </w:r>
    </w:p>
    <w:p w14:paraId="1464AB03" w14:textId="357C84D9" w:rsidR="00201AD9" w:rsidRPr="000822F3" w:rsidRDefault="00201AD9" w:rsidP="00AF2CC9">
      <w:pPr>
        <w:pStyle w:val="ListParagraph"/>
        <w:numPr>
          <w:ilvl w:val="0"/>
          <w:numId w:val="21"/>
        </w:numPr>
        <w:spacing w:line="259" w:lineRule="auto"/>
      </w:pPr>
      <w:r w:rsidRPr="000822F3">
        <w:t xml:space="preserve">Informing the </w:t>
      </w:r>
      <w:r w:rsidR="002863D7">
        <w:t>DfE</w:t>
      </w:r>
      <w:r w:rsidRPr="000822F3">
        <w:t xml:space="preserve"> of withdrawal from the subcontracting arrangement.</w:t>
      </w:r>
    </w:p>
    <w:p w14:paraId="75013E25" w14:textId="77777777" w:rsidR="00201AD9" w:rsidRPr="000822F3" w:rsidRDefault="00201AD9" w:rsidP="00AF2CC9">
      <w:pPr>
        <w:pStyle w:val="ListParagraph"/>
        <w:numPr>
          <w:ilvl w:val="0"/>
          <w:numId w:val="21"/>
        </w:numPr>
        <w:spacing w:line="259" w:lineRule="auto"/>
      </w:pPr>
      <w:r w:rsidRPr="000822F3">
        <w:t>A review of learner progress and assessment.</w:t>
      </w:r>
    </w:p>
    <w:p w14:paraId="4BBA0A27" w14:textId="77777777" w:rsidR="00201AD9" w:rsidRPr="000822F3" w:rsidRDefault="00201AD9" w:rsidP="00AF2CC9">
      <w:pPr>
        <w:pStyle w:val="ListParagraph"/>
        <w:numPr>
          <w:ilvl w:val="0"/>
          <w:numId w:val="21"/>
        </w:numPr>
        <w:spacing w:line="259" w:lineRule="auto"/>
      </w:pPr>
      <w:r w:rsidRPr="000822F3">
        <w:t>To ensure learners complete their learning and qualifications, going forward a decision would be made to identify the best delivery plan to ensure continuity of learning and minimise any disruption to learners.  One of four possible routes will be identified as set out below:</w:t>
      </w:r>
    </w:p>
    <w:p w14:paraId="3B24459F" w14:textId="77777777" w:rsidR="00201AD9" w:rsidRPr="000822F3" w:rsidRDefault="00201AD9" w:rsidP="00AD35F9">
      <w:pPr>
        <w:pStyle w:val="ListParagraph"/>
        <w:numPr>
          <w:ilvl w:val="1"/>
          <w:numId w:val="5"/>
        </w:numPr>
        <w:spacing w:line="259" w:lineRule="auto"/>
      </w:pPr>
      <w:r w:rsidRPr="000822F3">
        <w:t>The College would deliver the provision.</w:t>
      </w:r>
    </w:p>
    <w:p w14:paraId="798FBB3A" w14:textId="5C78D89A" w:rsidR="00201AD9" w:rsidRPr="000822F3" w:rsidRDefault="00201AD9" w:rsidP="00AD35F9">
      <w:pPr>
        <w:pStyle w:val="ListParagraph"/>
        <w:numPr>
          <w:ilvl w:val="1"/>
          <w:numId w:val="5"/>
        </w:numPr>
        <w:spacing w:line="259" w:lineRule="auto"/>
      </w:pPr>
      <w:r w:rsidRPr="000822F3">
        <w:t xml:space="preserve">The College would identify an existing </w:t>
      </w:r>
      <w:r w:rsidR="002863D7">
        <w:t>partner</w:t>
      </w:r>
      <w:r w:rsidRPr="000822F3">
        <w:t xml:space="preserve"> with the capability and capacity to deliver the provision.</w:t>
      </w:r>
    </w:p>
    <w:p w14:paraId="1A0E9171" w14:textId="7DDA040C" w:rsidR="00201AD9" w:rsidRPr="000822F3" w:rsidRDefault="00201AD9" w:rsidP="00AD35F9">
      <w:pPr>
        <w:pStyle w:val="ListParagraph"/>
        <w:numPr>
          <w:ilvl w:val="1"/>
          <w:numId w:val="5"/>
        </w:numPr>
        <w:spacing w:line="259" w:lineRule="auto"/>
      </w:pPr>
      <w:r w:rsidRPr="000822F3">
        <w:t xml:space="preserve">The College would engage with a new </w:t>
      </w:r>
      <w:r w:rsidR="002863D7">
        <w:t>partner</w:t>
      </w:r>
      <w:r w:rsidRPr="000822F3">
        <w:t xml:space="preserve"> (subject to completion of the due diligence process) to deliver the provision.</w:t>
      </w:r>
    </w:p>
    <w:p w14:paraId="3BEE48C9" w14:textId="3108C995" w:rsidR="00201AD9" w:rsidRPr="000822F3" w:rsidRDefault="00201AD9" w:rsidP="00AD35F9">
      <w:pPr>
        <w:pStyle w:val="ListParagraph"/>
        <w:numPr>
          <w:ilvl w:val="1"/>
          <w:numId w:val="5"/>
        </w:numPr>
        <w:spacing w:line="259" w:lineRule="auto"/>
      </w:pPr>
      <w:r w:rsidRPr="000822F3">
        <w:t xml:space="preserve">As a last resort, if the College is unable to meet the needs of the learners through either direct delivery, using an existing </w:t>
      </w:r>
      <w:r w:rsidR="00B31BE2">
        <w:t>partner</w:t>
      </w:r>
      <w:r w:rsidRPr="000822F3">
        <w:t xml:space="preserve"> or engaging with a new </w:t>
      </w:r>
      <w:r w:rsidR="00B31BE2">
        <w:t>partner</w:t>
      </w:r>
      <w:r w:rsidRPr="000822F3">
        <w:t>, it will work with the relevant funding bodies (</w:t>
      </w:r>
      <w:r w:rsidR="008E6F47">
        <w:t>DfE</w:t>
      </w:r>
      <w:r w:rsidRPr="000822F3">
        <w:t>, SYMCA &amp; WYCA) to identify an alternative provider to transfer the learners to.</w:t>
      </w:r>
    </w:p>
    <w:p w14:paraId="3F6B0B5B" w14:textId="77777777" w:rsidR="00201AD9" w:rsidRPr="000822F3" w:rsidRDefault="00201AD9" w:rsidP="00AF2CC9">
      <w:pPr>
        <w:pStyle w:val="ListParagraph"/>
        <w:numPr>
          <w:ilvl w:val="0"/>
          <w:numId w:val="22"/>
        </w:numPr>
        <w:spacing w:line="259" w:lineRule="auto"/>
      </w:pPr>
      <w:r w:rsidRPr="000822F3">
        <w:t>Informing and communicating plans to learners and to employers.</w:t>
      </w:r>
    </w:p>
    <w:p w14:paraId="089F6EB7" w14:textId="77777777" w:rsidR="00201AD9" w:rsidRPr="000822F3" w:rsidRDefault="00201AD9" w:rsidP="00AF2CC9">
      <w:pPr>
        <w:pStyle w:val="ListParagraph"/>
        <w:numPr>
          <w:ilvl w:val="0"/>
          <w:numId w:val="22"/>
        </w:numPr>
        <w:spacing w:line="259" w:lineRule="auto"/>
      </w:pPr>
      <w:r w:rsidRPr="000822F3">
        <w:t>Awarding Organisation.</w:t>
      </w:r>
    </w:p>
    <w:p w14:paraId="67670EFC" w14:textId="7D79CBAE" w:rsidR="00201AD9" w:rsidRPr="000822F3" w:rsidRDefault="00201AD9" w:rsidP="00AD35F9">
      <w:pPr>
        <w:pStyle w:val="ListParagraph"/>
        <w:numPr>
          <w:ilvl w:val="1"/>
          <w:numId w:val="5"/>
        </w:numPr>
        <w:spacing w:line="259" w:lineRule="auto"/>
      </w:pPr>
      <w:r w:rsidRPr="000822F3">
        <w:lastRenderedPageBreak/>
        <w:t xml:space="preserve">The College will </w:t>
      </w:r>
      <w:proofErr w:type="gramStart"/>
      <w:r w:rsidRPr="000822F3">
        <w:t>make contact with</w:t>
      </w:r>
      <w:proofErr w:type="gramEnd"/>
      <w:r w:rsidRPr="000822F3">
        <w:t xml:space="preserve"> existing awarding organisation(s) to see if learners can be transferred to </w:t>
      </w:r>
      <w:r w:rsidR="00DA13CB">
        <w:t>the College</w:t>
      </w:r>
      <w:r w:rsidRPr="000822F3">
        <w:t>.</w:t>
      </w:r>
    </w:p>
    <w:p w14:paraId="77B6D5B3" w14:textId="77777777" w:rsidR="00201AD9" w:rsidRPr="000822F3" w:rsidRDefault="00201AD9" w:rsidP="00AD35F9">
      <w:pPr>
        <w:pStyle w:val="ListParagraph"/>
        <w:numPr>
          <w:ilvl w:val="1"/>
          <w:numId w:val="5"/>
        </w:numPr>
        <w:spacing w:line="259" w:lineRule="auto"/>
      </w:pPr>
      <w:r w:rsidRPr="000822F3">
        <w:t>Ascertain whether existing work can be transferred to an alternative AO and APL applied.</w:t>
      </w:r>
    </w:p>
    <w:p w14:paraId="3C313368" w14:textId="2081F8DE" w:rsidR="00201AD9" w:rsidRPr="000822F3" w:rsidRDefault="00201AD9" w:rsidP="00AD35F9">
      <w:pPr>
        <w:pStyle w:val="ListParagraph"/>
        <w:numPr>
          <w:ilvl w:val="1"/>
          <w:numId w:val="5"/>
        </w:numPr>
        <w:spacing w:line="259" w:lineRule="auto"/>
      </w:pPr>
      <w:r w:rsidRPr="000822F3">
        <w:t xml:space="preserve">The College will pay for any registration and certification costs that cannot be transferred from the outgoing </w:t>
      </w:r>
      <w:r w:rsidR="00B31BE2">
        <w:t>partner’s</w:t>
      </w:r>
      <w:r w:rsidRPr="000822F3">
        <w:t xml:space="preserve"> centre.</w:t>
      </w:r>
    </w:p>
    <w:p w14:paraId="468DEE87" w14:textId="77777777" w:rsidR="00201AD9" w:rsidRPr="000822F3" w:rsidRDefault="00201AD9" w:rsidP="00AD35F9">
      <w:pPr>
        <w:pStyle w:val="ListParagraph"/>
        <w:numPr>
          <w:ilvl w:val="0"/>
          <w:numId w:val="5"/>
        </w:numPr>
        <w:spacing w:line="259" w:lineRule="auto"/>
      </w:pPr>
      <w:r w:rsidRPr="000822F3">
        <w:t>Setting clear time scales for identified actions to be implemented.</w:t>
      </w:r>
    </w:p>
    <w:p w14:paraId="4E049166" w14:textId="5C1B7848" w:rsidR="00201AD9" w:rsidRPr="000822F3" w:rsidRDefault="00201AD9" w:rsidP="00AD35F9">
      <w:pPr>
        <w:pStyle w:val="ListParagraph"/>
        <w:numPr>
          <w:ilvl w:val="0"/>
          <w:numId w:val="5"/>
        </w:numPr>
        <w:spacing w:line="259" w:lineRule="auto"/>
      </w:pPr>
      <w:r w:rsidRPr="000822F3">
        <w:t>Recover and remove all Department (</w:t>
      </w:r>
      <w:r w:rsidR="008E6F47">
        <w:t>DfE</w:t>
      </w:r>
      <w:r w:rsidRPr="000822F3">
        <w:t>) data held on systems and recover relevant documentation.</w:t>
      </w:r>
    </w:p>
    <w:p w14:paraId="204AE686" w14:textId="77777777" w:rsidR="00201AD9" w:rsidRPr="000822F3" w:rsidRDefault="00201AD9" w:rsidP="00AD35F9">
      <w:pPr>
        <w:pStyle w:val="ListParagraph"/>
        <w:numPr>
          <w:ilvl w:val="0"/>
          <w:numId w:val="5"/>
        </w:numPr>
        <w:spacing w:line="259" w:lineRule="auto"/>
      </w:pPr>
      <w:r w:rsidRPr="000822F3">
        <w:t>Allocating key roles and responsibilities to college staff for implementing, monitoring, and reviewing the plan.</w:t>
      </w:r>
    </w:p>
    <w:p w14:paraId="747A6ECE" w14:textId="77777777" w:rsidR="00201AD9" w:rsidRPr="000822F3" w:rsidRDefault="00201AD9" w:rsidP="00201AD9"/>
    <w:p w14:paraId="17F9C3A8" w14:textId="77777777" w:rsidR="00201AD9" w:rsidRPr="000822F3" w:rsidRDefault="00201AD9" w:rsidP="00201AD9">
      <w:pPr>
        <w:pStyle w:val="Heading2"/>
      </w:pPr>
      <w:r w:rsidRPr="000822F3">
        <w:t>Communication</w:t>
      </w:r>
    </w:p>
    <w:p w14:paraId="63D3D062" w14:textId="55C49D9E" w:rsidR="00FC1B1E" w:rsidRDefault="00201AD9" w:rsidP="00201AD9">
      <w:r w:rsidRPr="000822F3">
        <w:t xml:space="preserve">The College will ensure all ‘Delivery </w:t>
      </w:r>
      <w:r w:rsidR="002E21C7">
        <w:t>Partner</w:t>
      </w:r>
      <w:r w:rsidRPr="000822F3">
        <w:t xml:space="preserve">s’ have sight of this contingency plan. This will be reviewed annually and updated as and if required. It will be published on the College website and will be discussed in meetings with ‘Delivery </w:t>
      </w:r>
      <w:r w:rsidR="002E21C7">
        <w:t>Partners</w:t>
      </w:r>
      <w:r w:rsidRPr="000822F3">
        <w:t>’.</w:t>
      </w:r>
    </w:p>
    <w:p w14:paraId="70C3A372" w14:textId="77777777" w:rsidR="00FC1B1E" w:rsidRDefault="00FC1B1E">
      <w:pPr>
        <w:spacing w:after="200"/>
      </w:pPr>
      <w:r>
        <w:br w:type="page"/>
      </w:r>
    </w:p>
    <w:p w14:paraId="1C624E58" w14:textId="77777777" w:rsidR="00FC1B1E" w:rsidRPr="00D6662F" w:rsidRDefault="00FC1B1E" w:rsidP="00FC1B1E">
      <w:pPr>
        <w:pStyle w:val="Heading1"/>
        <w:rPr>
          <w:b w:val="0"/>
          <w:bCs w:val="0"/>
        </w:rPr>
      </w:pPr>
      <w:bookmarkStart w:id="2" w:name="_Hlk166006330"/>
      <w:r w:rsidRPr="00D6662F">
        <w:lastRenderedPageBreak/>
        <w:t xml:space="preserve">Appendix 3 </w:t>
      </w:r>
      <w:r>
        <w:t>Subcontracting Responsibilities</w:t>
      </w:r>
    </w:p>
    <w:bookmarkEnd w:id="2"/>
    <w:p w14:paraId="02643840" w14:textId="77777777" w:rsidR="00FC1B1E" w:rsidRDefault="00FC1B1E" w:rsidP="00FC1B1E">
      <w:pPr>
        <w:pStyle w:val="NoSpacing"/>
      </w:pPr>
    </w:p>
    <w:p w14:paraId="59CE9E27" w14:textId="77777777" w:rsidR="00FC1B1E" w:rsidRDefault="00FC1B1E" w:rsidP="00FC1B1E">
      <w:pPr>
        <w:pStyle w:val="NoSpacing"/>
      </w:pPr>
      <w:r>
        <w:t xml:space="preserve">The </w:t>
      </w:r>
      <w:r w:rsidRPr="002739CB">
        <w:t xml:space="preserve">College is responsible for the leadership and management of </w:t>
      </w:r>
      <w:r>
        <w:t xml:space="preserve">all </w:t>
      </w:r>
      <w:r w:rsidRPr="002739CB">
        <w:t>subcontracted provision.</w:t>
      </w:r>
      <w:r>
        <w:t xml:space="preserve">  All subcontracted p</w:t>
      </w:r>
      <w:r w:rsidRPr="002739CB">
        <w:t xml:space="preserve">rovision must meet </w:t>
      </w:r>
      <w:r>
        <w:t xml:space="preserve">the </w:t>
      </w:r>
      <w:r w:rsidRPr="002739CB">
        <w:t xml:space="preserve">College expectations in terms of quality and outcomes and be managed in line with all College </w:t>
      </w:r>
      <w:r>
        <w:t>policies and procedures.</w:t>
      </w:r>
    </w:p>
    <w:p w14:paraId="66963322" w14:textId="77777777" w:rsidR="00FC1B1E" w:rsidRDefault="00FC1B1E" w:rsidP="00FC1B1E">
      <w:pPr>
        <w:pStyle w:val="NoSpacing"/>
      </w:pPr>
    </w:p>
    <w:p w14:paraId="2B347E96" w14:textId="77777777" w:rsidR="00FC1B1E" w:rsidRDefault="00FC1B1E" w:rsidP="00FC1B1E">
      <w:pPr>
        <w:pStyle w:val="NoSpacing"/>
      </w:pPr>
      <w:r>
        <w:t>The College will ensure effective partnership management is undertaken, which requires an appropriate mix of data analysis, partner meetings, monitoring visits and quality review to ensure that delivery meets the required standard and that any risk to the expected outcomes is mitigated to limit the impact to all involved.</w:t>
      </w:r>
    </w:p>
    <w:p w14:paraId="17E9152A" w14:textId="77777777" w:rsidR="00FC1B1E" w:rsidRDefault="00FC1B1E" w:rsidP="00FC1B1E">
      <w:pPr>
        <w:pStyle w:val="NoSpacing"/>
      </w:pPr>
    </w:p>
    <w:p w14:paraId="63DDA979" w14:textId="7EBC3814" w:rsidR="00FC1B1E" w:rsidRDefault="00FC1B1E" w:rsidP="00FC1B1E">
      <w:pPr>
        <w:pStyle w:val="NoSpacing"/>
      </w:pPr>
      <w:r>
        <w:t xml:space="preserve">All </w:t>
      </w:r>
      <w:r w:rsidR="003A1A4A">
        <w:t>p</w:t>
      </w:r>
      <w:r>
        <w:t xml:space="preserve">artners should have a dedicated Contract Owner this will normally be the Head of </w:t>
      </w:r>
      <w:r w:rsidR="00E801F0">
        <w:t>Department;</w:t>
      </w:r>
      <w:r>
        <w:t xml:space="preserve"> they should be supported where possible with appropriate training and guidance.</w:t>
      </w:r>
    </w:p>
    <w:p w14:paraId="49BB7028" w14:textId="77777777" w:rsidR="00FC1B1E" w:rsidRDefault="00FC1B1E" w:rsidP="00FC1B1E">
      <w:pPr>
        <w:pStyle w:val="NoSpacing"/>
      </w:pPr>
    </w:p>
    <w:p w14:paraId="36CA8945" w14:textId="77777777" w:rsidR="00FC1B1E" w:rsidRPr="00D6662F" w:rsidRDefault="00FC1B1E" w:rsidP="00FC1B1E">
      <w:pPr>
        <w:pStyle w:val="NoSpacing"/>
      </w:pPr>
      <w:r w:rsidRPr="00D6662F">
        <w:t>Responsibilit</w:t>
      </w:r>
      <w:r>
        <w:t>ies are outlined below</w:t>
      </w:r>
      <w:r w:rsidRPr="00D6662F">
        <w:t>:</w:t>
      </w:r>
    </w:p>
    <w:p w14:paraId="1300F4A2" w14:textId="77777777" w:rsidR="00FC1B1E" w:rsidRDefault="00FC1B1E" w:rsidP="00FC1B1E">
      <w:pPr>
        <w:pStyle w:val="NoSpacing"/>
      </w:pPr>
    </w:p>
    <w:p w14:paraId="26B5B927" w14:textId="77777777" w:rsidR="00FC1B1E" w:rsidRPr="00B65C28" w:rsidRDefault="00FC1B1E" w:rsidP="00FC1B1E">
      <w:pPr>
        <w:pStyle w:val="NoSpacing"/>
        <w:rPr>
          <w:b/>
          <w:bCs/>
        </w:rPr>
      </w:pPr>
      <w:r w:rsidRPr="00B65C28">
        <w:rPr>
          <w:b/>
          <w:bCs/>
        </w:rPr>
        <w:t xml:space="preserve">The </w:t>
      </w:r>
      <w:r>
        <w:rPr>
          <w:b/>
          <w:bCs/>
        </w:rPr>
        <w:t>Board</w:t>
      </w:r>
    </w:p>
    <w:p w14:paraId="248CDFE4" w14:textId="77777777" w:rsidR="00FC1B1E" w:rsidRPr="00D6662F" w:rsidRDefault="00FC1B1E" w:rsidP="00AF2CC9">
      <w:pPr>
        <w:pStyle w:val="NoSpacing"/>
        <w:numPr>
          <w:ilvl w:val="0"/>
          <w:numId w:val="8"/>
        </w:numPr>
      </w:pPr>
      <w:r w:rsidRPr="00D6662F">
        <w:t>Approval of the Su</w:t>
      </w:r>
      <w:r>
        <w:t xml:space="preserve">bcontracting </w:t>
      </w:r>
      <w:r w:rsidRPr="00D6662F">
        <w:t>Policy on an annual</w:t>
      </w:r>
      <w:r>
        <w:t xml:space="preserve"> </w:t>
      </w:r>
      <w:r w:rsidRPr="00D6662F">
        <w:t>basis</w:t>
      </w:r>
      <w:r>
        <w:t>.</w:t>
      </w:r>
    </w:p>
    <w:p w14:paraId="4B75F5AF" w14:textId="77777777" w:rsidR="00FC1B1E" w:rsidRPr="00D6662F" w:rsidRDefault="00FC1B1E" w:rsidP="00AF2CC9">
      <w:pPr>
        <w:pStyle w:val="NoSpacing"/>
        <w:numPr>
          <w:ilvl w:val="0"/>
          <w:numId w:val="8"/>
        </w:numPr>
      </w:pPr>
      <w:r w:rsidRPr="00D6662F">
        <w:t>Approval of the annual subcontracting plan</w:t>
      </w:r>
      <w:r>
        <w:t>.</w:t>
      </w:r>
    </w:p>
    <w:p w14:paraId="075F1BD6" w14:textId="77777777" w:rsidR="00FC1B1E" w:rsidRDefault="00FC1B1E" w:rsidP="00FC1B1E">
      <w:pPr>
        <w:pStyle w:val="NoSpacing"/>
      </w:pPr>
    </w:p>
    <w:p w14:paraId="66BB8B60" w14:textId="77777777" w:rsidR="00FC1B1E" w:rsidRPr="00B65C28" w:rsidRDefault="00FC1B1E" w:rsidP="00FC1B1E">
      <w:pPr>
        <w:pStyle w:val="NoSpacing"/>
        <w:rPr>
          <w:b/>
          <w:bCs/>
        </w:rPr>
      </w:pPr>
      <w:r w:rsidRPr="00B65C28">
        <w:rPr>
          <w:b/>
          <w:bCs/>
        </w:rPr>
        <w:t>The Executive Team</w:t>
      </w:r>
    </w:p>
    <w:p w14:paraId="43DEC947" w14:textId="69ADF614" w:rsidR="00FC1B1E" w:rsidRDefault="00805212" w:rsidP="00AF2CC9">
      <w:pPr>
        <w:pStyle w:val="NoSpacing"/>
        <w:numPr>
          <w:ilvl w:val="0"/>
          <w:numId w:val="8"/>
        </w:numPr>
      </w:pPr>
      <w:r w:rsidRPr="00805212">
        <w:t>Vice Principal Partnerships &amp; Growth</w:t>
      </w:r>
      <w:r w:rsidR="00FC1B1E" w:rsidRPr="00D6662F">
        <w:t>, ensuring the application</w:t>
      </w:r>
      <w:r w:rsidR="00FC1B1E">
        <w:t xml:space="preserve"> </w:t>
      </w:r>
      <w:r w:rsidR="00FC1B1E" w:rsidRPr="00D6662F">
        <w:t>of the Policy and overseeing the delivery of the services to partners for</w:t>
      </w:r>
      <w:r w:rsidR="00FC1B1E">
        <w:t xml:space="preserve"> </w:t>
      </w:r>
      <w:r w:rsidR="00FC1B1E" w:rsidRPr="00D6662F">
        <w:t>the fees charged</w:t>
      </w:r>
      <w:r w:rsidR="00FC1B1E">
        <w:t>.</w:t>
      </w:r>
    </w:p>
    <w:p w14:paraId="54DC75BE" w14:textId="613A6F64" w:rsidR="00FC1B1E" w:rsidRDefault="00FC1B1E" w:rsidP="00AF2CC9">
      <w:pPr>
        <w:pStyle w:val="ListParagraph"/>
        <w:numPr>
          <w:ilvl w:val="0"/>
          <w:numId w:val="8"/>
        </w:numPr>
        <w:spacing w:after="160" w:line="259" w:lineRule="auto"/>
      </w:pPr>
      <w:r w:rsidRPr="00DF1A41">
        <w:t xml:space="preserve">To review concerns or significant changes to </w:t>
      </w:r>
      <w:r w:rsidR="003A1A4A">
        <w:t>partner</w:t>
      </w:r>
      <w:r w:rsidRPr="00DF1A41">
        <w:t xml:space="preserve"> delivery </w:t>
      </w:r>
      <w:r>
        <w:t xml:space="preserve">that are </w:t>
      </w:r>
      <w:r w:rsidRPr="00DF1A41">
        <w:t xml:space="preserve">raised by </w:t>
      </w:r>
      <w:r>
        <w:t xml:space="preserve">a member of staff or </w:t>
      </w:r>
      <w:r w:rsidR="00F242CD">
        <w:t>learner</w:t>
      </w:r>
      <w:r>
        <w:t>.</w:t>
      </w:r>
    </w:p>
    <w:p w14:paraId="289DE8C5" w14:textId="77777777" w:rsidR="00FC1B1E" w:rsidRPr="00B65C28" w:rsidRDefault="00FC1B1E" w:rsidP="00FC1B1E">
      <w:pPr>
        <w:pStyle w:val="NoSpacing"/>
        <w:rPr>
          <w:b/>
          <w:bCs/>
        </w:rPr>
      </w:pPr>
      <w:r w:rsidRPr="00B65C28">
        <w:rPr>
          <w:b/>
          <w:bCs/>
        </w:rPr>
        <w:t>Head of Department</w:t>
      </w:r>
    </w:p>
    <w:p w14:paraId="4CF792E0" w14:textId="55D60B56" w:rsidR="00FC1B1E" w:rsidRPr="00D6662F" w:rsidRDefault="00A22CCD" w:rsidP="00AF2CC9">
      <w:pPr>
        <w:pStyle w:val="NoSpacing"/>
        <w:numPr>
          <w:ilvl w:val="0"/>
          <w:numId w:val="8"/>
        </w:numPr>
      </w:pPr>
      <w:proofErr w:type="gramStart"/>
      <w:r w:rsidRPr="00D6662F">
        <w:t>Contract</w:t>
      </w:r>
      <w:proofErr w:type="gramEnd"/>
      <w:r w:rsidR="00FC1B1E" w:rsidRPr="00D6662F">
        <w:t xml:space="preserve"> manag</w:t>
      </w:r>
      <w:r>
        <w:t>e</w:t>
      </w:r>
      <w:r w:rsidR="00FC1B1E" w:rsidRPr="00D6662F">
        <w:t xml:space="preserve"> the College’s partners and partnership provision,</w:t>
      </w:r>
      <w:r w:rsidR="00FC1B1E">
        <w:t xml:space="preserve"> </w:t>
      </w:r>
      <w:r w:rsidR="00FC1B1E" w:rsidRPr="00D6662F">
        <w:t>including the assessment of quality and the delivery of quality support</w:t>
      </w:r>
      <w:r w:rsidR="00FC1B1E">
        <w:t xml:space="preserve"> </w:t>
      </w:r>
      <w:r w:rsidR="00FC1B1E" w:rsidRPr="00D6662F">
        <w:t>services</w:t>
      </w:r>
      <w:r w:rsidR="00FC1B1E">
        <w:t>.</w:t>
      </w:r>
    </w:p>
    <w:p w14:paraId="50CA75E3" w14:textId="50F5EB4D" w:rsidR="00FC1B1E" w:rsidRDefault="00FC1B1E" w:rsidP="00AF2CC9">
      <w:pPr>
        <w:pStyle w:val="NoSpacing"/>
        <w:numPr>
          <w:ilvl w:val="0"/>
          <w:numId w:val="8"/>
        </w:numPr>
      </w:pPr>
      <w:r w:rsidRPr="00D6662F">
        <w:t>Maintain a due diligence review of partners which informs partner</w:t>
      </w:r>
      <w:r>
        <w:t xml:space="preserve"> </w:t>
      </w:r>
      <w:r w:rsidRPr="00D6662F">
        <w:t>selection processes and the exposure/ risk per partner</w:t>
      </w:r>
      <w:r>
        <w:t>.</w:t>
      </w:r>
    </w:p>
    <w:p w14:paraId="02196F7E" w14:textId="77777777" w:rsidR="00FC1B1E" w:rsidRPr="008F4244" w:rsidRDefault="00FC1B1E" w:rsidP="00AF2CC9">
      <w:pPr>
        <w:pStyle w:val="ListParagraph"/>
        <w:numPr>
          <w:ilvl w:val="0"/>
          <w:numId w:val="8"/>
        </w:numPr>
        <w:spacing w:after="160" w:line="259" w:lineRule="auto"/>
      </w:pPr>
      <w:r w:rsidRPr="008F4244">
        <w:t>Ensure completion of appropriate procurement activities including the completion of financial and non-financial due diligence reviews.</w:t>
      </w:r>
    </w:p>
    <w:p w14:paraId="24D6E913" w14:textId="77777777" w:rsidR="00FC1B1E" w:rsidRPr="008F4244" w:rsidRDefault="00FC1B1E" w:rsidP="00AF2CC9">
      <w:pPr>
        <w:pStyle w:val="ListParagraph"/>
        <w:numPr>
          <w:ilvl w:val="0"/>
          <w:numId w:val="8"/>
        </w:numPr>
        <w:spacing w:after="160" w:line="259" w:lineRule="auto"/>
      </w:pPr>
      <w:r w:rsidRPr="008F4244">
        <w:t>Ensure signed contract is in place prior to delivery.</w:t>
      </w:r>
    </w:p>
    <w:p w14:paraId="63B84F80" w14:textId="77777777" w:rsidR="00FC1B1E" w:rsidRDefault="00FC1B1E" w:rsidP="00AF2CC9">
      <w:pPr>
        <w:pStyle w:val="ListParagraph"/>
        <w:numPr>
          <w:ilvl w:val="0"/>
          <w:numId w:val="8"/>
        </w:numPr>
        <w:spacing w:after="160" w:line="259" w:lineRule="auto"/>
      </w:pPr>
      <w:r w:rsidRPr="008F4244">
        <w:t xml:space="preserve">Ensure Quality Assurance and Performance Management reviews are undertaken </w:t>
      </w:r>
      <w:r>
        <w:t xml:space="preserve">and documented </w:t>
      </w:r>
      <w:r w:rsidRPr="008F4244">
        <w:t>throughout the year.</w:t>
      </w:r>
      <w:r>
        <w:t xml:space="preserve">  Example agenda items:</w:t>
      </w:r>
    </w:p>
    <w:p w14:paraId="084BAF62" w14:textId="4E571CF3" w:rsidR="00FC1B1E" w:rsidRDefault="00FC1B1E" w:rsidP="00AF2CC9">
      <w:pPr>
        <w:pStyle w:val="ListParagraph"/>
        <w:numPr>
          <w:ilvl w:val="1"/>
          <w:numId w:val="8"/>
        </w:numPr>
        <w:spacing w:after="160" w:line="259" w:lineRule="auto"/>
      </w:pPr>
      <w:r>
        <w:t>Starts</w:t>
      </w:r>
      <w:r w:rsidR="00B15C8C">
        <w:t xml:space="preserve"> &amp; </w:t>
      </w:r>
      <w:r>
        <w:t>Leavers</w:t>
      </w:r>
    </w:p>
    <w:p w14:paraId="5A93E870" w14:textId="77777777" w:rsidR="00FC1B1E" w:rsidRDefault="00FC1B1E" w:rsidP="00AF2CC9">
      <w:pPr>
        <w:pStyle w:val="ListParagraph"/>
        <w:numPr>
          <w:ilvl w:val="1"/>
          <w:numId w:val="8"/>
        </w:numPr>
        <w:spacing w:after="160" w:line="259" w:lineRule="auto"/>
      </w:pPr>
      <w:r>
        <w:t>Learner progress</w:t>
      </w:r>
    </w:p>
    <w:p w14:paraId="77490679" w14:textId="23EE7E51" w:rsidR="00FC1B1E" w:rsidRDefault="00FC1B1E" w:rsidP="00AF2CC9">
      <w:pPr>
        <w:pStyle w:val="ListParagraph"/>
        <w:numPr>
          <w:ilvl w:val="1"/>
          <w:numId w:val="8"/>
        </w:numPr>
        <w:spacing w:after="160" w:line="259" w:lineRule="auto"/>
      </w:pPr>
      <w:r>
        <w:t xml:space="preserve">Learner support and access to </w:t>
      </w:r>
      <w:r w:rsidR="000E1E27">
        <w:t xml:space="preserve">the </w:t>
      </w:r>
      <w:r>
        <w:t>College services and support</w:t>
      </w:r>
    </w:p>
    <w:p w14:paraId="478A3E7A" w14:textId="77777777" w:rsidR="00FC1B1E" w:rsidRDefault="00FC1B1E" w:rsidP="00AF2CC9">
      <w:pPr>
        <w:pStyle w:val="ListParagraph"/>
        <w:numPr>
          <w:ilvl w:val="1"/>
          <w:numId w:val="8"/>
        </w:numPr>
        <w:spacing w:after="160" w:line="259" w:lineRule="auto"/>
      </w:pPr>
      <w:r>
        <w:t>Achievements</w:t>
      </w:r>
    </w:p>
    <w:p w14:paraId="1D8BA52A" w14:textId="77777777" w:rsidR="00FC1B1E" w:rsidRDefault="00FC1B1E" w:rsidP="00AF2CC9">
      <w:pPr>
        <w:pStyle w:val="ListParagraph"/>
        <w:numPr>
          <w:ilvl w:val="1"/>
          <w:numId w:val="8"/>
        </w:numPr>
        <w:spacing w:after="160" w:line="259" w:lineRule="auto"/>
      </w:pPr>
      <w:r>
        <w:t>Quality</w:t>
      </w:r>
    </w:p>
    <w:p w14:paraId="114C03BE" w14:textId="77777777" w:rsidR="00FC1B1E" w:rsidRDefault="00FC1B1E" w:rsidP="00AF2CC9">
      <w:pPr>
        <w:pStyle w:val="ListParagraph"/>
        <w:numPr>
          <w:ilvl w:val="1"/>
          <w:numId w:val="8"/>
        </w:numPr>
        <w:spacing w:after="160" w:line="259" w:lineRule="auto"/>
      </w:pPr>
      <w:r>
        <w:t>Issues</w:t>
      </w:r>
    </w:p>
    <w:p w14:paraId="2C384E71" w14:textId="4FBF1416" w:rsidR="00FC1B1E" w:rsidRDefault="00FC1B1E" w:rsidP="00AF2CC9">
      <w:pPr>
        <w:pStyle w:val="ListParagraph"/>
        <w:numPr>
          <w:ilvl w:val="1"/>
          <w:numId w:val="8"/>
        </w:numPr>
        <w:spacing w:after="160" w:line="259" w:lineRule="auto"/>
      </w:pPr>
      <w:r>
        <w:t>H&amp;S e.g. accidents</w:t>
      </w:r>
      <w:r w:rsidR="00B15C8C">
        <w:t>, trips &amp; visits</w:t>
      </w:r>
    </w:p>
    <w:p w14:paraId="0726044B" w14:textId="77777777" w:rsidR="00FC1B1E" w:rsidRDefault="00FC1B1E" w:rsidP="00AF2CC9">
      <w:pPr>
        <w:pStyle w:val="ListParagraph"/>
        <w:numPr>
          <w:ilvl w:val="1"/>
          <w:numId w:val="8"/>
        </w:numPr>
        <w:spacing w:after="160" w:line="259" w:lineRule="auto"/>
      </w:pPr>
      <w:r>
        <w:t>Equality and diversity</w:t>
      </w:r>
    </w:p>
    <w:p w14:paraId="587F7069" w14:textId="77777777" w:rsidR="00FC1B1E" w:rsidRDefault="00FC1B1E" w:rsidP="00AF2CC9">
      <w:pPr>
        <w:pStyle w:val="ListParagraph"/>
        <w:numPr>
          <w:ilvl w:val="1"/>
          <w:numId w:val="8"/>
        </w:numPr>
        <w:spacing w:after="160" w:line="259" w:lineRule="auto"/>
      </w:pPr>
      <w:r>
        <w:t>Safeguarding</w:t>
      </w:r>
    </w:p>
    <w:p w14:paraId="2C084AB5" w14:textId="60B74E15" w:rsidR="00FC1B1E" w:rsidRDefault="00B15C8C" w:rsidP="00AF2CC9">
      <w:pPr>
        <w:pStyle w:val="ListParagraph"/>
        <w:numPr>
          <w:ilvl w:val="1"/>
          <w:numId w:val="8"/>
        </w:numPr>
        <w:spacing w:after="160" w:line="259" w:lineRule="auto"/>
      </w:pPr>
      <w:r>
        <w:t>Partner</w:t>
      </w:r>
      <w:r w:rsidR="00FC1B1E">
        <w:t xml:space="preserve"> staff development</w:t>
      </w:r>
    </w:p>
    <w:p w14:paraId="5526BE12" w14:textId="77777777" w:rsidR="00FC1B1E" w:rsidRDefault="00FC1B1E" w:rsidP="00AF2CC9">
      <w:pPr>
        <w:pStyle w:val="ListParagraph"/>
        <w:numPr>
          <w:ilvl w:val="1"/>
          <w:numId w:val="8"/>
        </w:numPr>
        <w:spacing w:after="160" w:line="259" w:lineRule="auto"/>
      </w:pPr>
      <w:r>
        <w:t>Course management e.g. attendance</w:t>
      </w:r>
    </w:p>
    <w:p w14:paraId="4A569AD8" w14:textId="77777777" w:rsidR="00FC1B1E" w:rsidRDefault="00FC1B1E" w:rsidP="00AF2CC9">
      <w:pPr>
        <w:pStyle w:val="ListParagraph"/>
        <w:numPr>
          <w:ilvl w:val="1"/>
          <w:numId w:val="8"/>
        </w:numPr>
        <w:spacing w:after="160" w:line="259" w:lineRule="auto"/>
      </w:pPr>
      <w:r>
        <w:t>Access to systems and use</w:t>
      </w:r>
    </w:p>
    <w:p w14:paraId="777F364B" w14:textId="77777777" w:rsidR="00FC1B1E" w:rsidRDefault="00FC1B1E" w:rsidP="00AF2CC9">
      <w:pPr>
        <w:pStyle w:val="ListParagraph"/>
        <w:numPr>
          <w:ilvl w:val="1"/>
          <w:numId w:val="8"/>
        </w:numPr>
        <w:spacing w:after="160" w:line="259" w:lineRule="auto"/>
      </w:pPr>
      <w:r>
        <w:t>Teaching and learning</w:t>
      </w:r>
    </w:p>
    <w:p w14:paraId="6652D5AD" w14:textId="77777777" w:rsidR="00FC1B1E" w:rsidRPr="008F4244" w:rsidRDefault="00FC1B1E" w:rsidP="00AF2CC9">
      <w:pPr>
        <w:pStyle w:val="ListParagraph"/>
        <w:numPr>
          <w:ilvl w:val="1"/>
          <w:numId w:val="8"/>
        </w:numPr>
        <w:spacing w:after="160" w:line="259" w:lineRule="auto"/>
      </w:pPr>
      <w:proofErr w:type="spellStart"/>
      <w:r>
        <w:t>AoB</w:t>
      </w:r>
      <w:proofErr w:type="spellEnd"/>
    </w:p>
    <w:p w14:paraId="4C4D557D" w14:textId="6A05CB65" w:rsidR="00C22208" w:rsidRDefault="009224A3" w:rsidP="00AF2CC9">
      <w:pPr>
        <w:pStyle w:val="ListParagraph"/>
        <w:numPr>
          <w:ilvl w:val="0"/>
          <w:numId w:val="8"/>
        </w:numPr>
        <w:spacing w:after="160" w:line="259" w:lineRule="auto"/>
      </w:pPr>
      <w:r>
        <w:lastRenderedPageBreak/>
        <w:t xml:space="preserve">Ensure </w:t>
      </w:r>
      <w:r w:rsidR="00C22208">
        <w:t xml:space="preserve">subcontractors are aware of </w:t>
      </w:r>
      <w:r>
        <w:t xml:space="preserve">all relevant policies </w:t>
      </w:r>
      <w:r w:rsidR="00C22208">
        <w:t xml:space="preserve">and monitor that they </w:t>
      </w:r>
      <w:r>
        <w:t xml:space="preserve">are </w:t>
      </w:r>
      <w:r w:rsidR="0075449B">
        <w:t xml:space="preserve">being </w:t>
      </w:r>
      <w:r>
        <w:t>adhered to</w:t>
      </w:r>
      <w:r w:rsidR="00C22208">
        <w:t>.</w:t>
      </w:r>
    </w:p>
    <w:p w14:paraId="12DC468F" w14:textId="5B89B0B7" w:rsidR="00FC1B1E" w:rsidRPr="008F4244" w:rsidRDefault="00FC1B1E" w:rsidP="00AF2CC9">
      <w:pPr>
        <w:pStyle w:val="ListParagraph"/>
        <w:numPr>
          <w:ilvl w:val="0"/>
          <w:numId w:val="8"/>
        </w:numPr>
        <w:spacing w:after="160" w:line="259" w:lineRule="auto"/>
      </w:pPr>
      <w:r w:rsidRPr="008F4244">
        <w:t xml:space="preserve">Communicate any substantial changes within the </w:t>
      </w:r>
      <w:r w:rsidR="00C97548">
        <w:t>partner</w:t>
      </w:r>
      <w:r w:rsidRPr="008F4244">
        <w:t xml:space="preserve"> or nature of delivery </w:t>
      </w:r>
      <w:r w:rsidR="000E1E27" w:rsidRPr="008F4244">
        <w:t>to</w:t>
      </w:r>
      <w:r w:rsidRPr="008F4244">
        <w:t xml:space="preserve"> ensure senior management oversight and consideration.</w:t>
      </w:r>
    </w:p>
    <w:p w14:paraId="278BA754" w14:textId="77777777" w:rsidR="00FC1B1E" w:rsidRPr="008F4244" w:rsidRDefault="00FC1B1E" w:rsidP="00AF2CC9">
      <w:pPr>
        <w:pStyle w:val="ListParagraph"/>
        <w:numPr>
          <w:ilvl w:val="0"/>
          <w:numId w:val="8"/>
        </w:numPr>
        <w:spacing w:after="160" w:line="259" w:lineRule="auto"/>
      </w:pPr>
      <w:r w:rsidRPr="008F4244">
        <w:t>Communicate an</w:t>
      </w:r>
      <w:r>
        <w:t>y</w:t>
      </w:r>
      <w:r w:rsidRPr="008F4244">
        <w:t xml:space="preserve"> concerns raised following Quality Assurance and Performance Management reviews to ensure senior management oversight and consideration.</w:t>
      </w:r>
    </w:p>
    <w:p w14:paraId="339F1104" w14:textId="4C80D3EC" w:rsidR="00FC1B1E" w:rsidRPr="008F4244" w:rsidRDefault="00FC1B1E" w:rsidP="00AF2CC9">
      <w:pPr>
        <w:pStyle w:val="ListParagraph"/>
        <w:numPr>
          <w:ilvl w:val="0"/>
          <w:numId w:val="8"/>
        </w:numPr>
        <w:spacing w:after="160" w:line="259" w:lineRule="auto"/>
      </w:pPr>
      <w:r w:rsidRPr="008F4244">
        <w:t xml:space="preserve">Ensure changes to contract are undertaken where required in relation to </w:t>
      </w:r>
      <w:r w:rsidR="00C97548">
        <w:t>partner</w:t>
      </w:r>
      <w:r w:rsidRPr="008F4244">
        <w:t xml:space="preserve"> delivery. </w:t>
      </w:r>
    </w:p>
    <w:p w14:paraId="785C9593" w14:textId="52CB47B1" w:rsidR="00FC1B1E" w:rsidRDefault="00FC1B1E" w:rsidP="00AF2CC9">
      <w:pPr>
        <w:pStyle w:val="ListParagraph"/>
        <w:numPr>
          <w:ilvl w:val="0"/>
          <w:numId w:val="8"/>
        </w:numPr>
        <w:spacing w:after="160" w:line="259" w:lineRule="auto"/>
      </w:pPr>
      <w:r w:rsidRPr="008F4244">
        <w:t xml:space="preserve">Ensure timely payment to the </w:t>
      </w:r>
      <w:r w:rsidR="00C97548">
        <w:t>partner</w:t>
      </w:r>
      <w:r w:rsidRPr="008F4244">
        <w:t>.</w:t>
      </w:r>
    </w:p>
    <w:p w14:paraId="12E3216A" w14:textId="77777777" w:rsidR="00FC1B1E" w:rsidRPr="00D6662F" w:rsidRDefault="00FC1B1E" w:rsidP="00FC1B1E">
      <w:pPr>
        <w:pStyle w:val="NoSpacing"/>
      </w:pPr>
    </w:p>
    <w:p w14:paraId="2E85A079" w14:textId="77777777" w:rsidR="00FC1B1E" w:rsidRPr="00B65C28" w:rsidRDefault="00FC1B1E" w:rsidP="00FC1B1E">
      <w:pPr>
        <w:pStyle w:val="NoSpacing"/>
        <w:rPr>
          <w:b/>
          <w:bCs/>
        </w:rPr>
      </w:pPr>
      <w:r w:rsidRPr="00B65C28">
        <w:rPr>
          <w:b/>
          <w:bCs/>
        </w:rPr>
        <w:t>MIS Team</w:t>
      </w:r>
    </w:p>
    <w:p w14:paraId="576A07F0" w14:textId="52490DFC" w:rsidR="00FC1B1E" w:rsidRDefault="00E40746" w:rsidP="00AF2CC9">
      <w:pPr>
        <w:pStyle w:val="NoSpacing"/>
        <w:numPr>
          <w:ilvl w:val="0"/>
          <w:numId w:val="8"/>
        </w:numPr>
      </w:pPr>
      <w:r>
        <w:t xml:space="preserve">The </w:t>
      </w:r>
      <w:r w:rsidR="009A4F43">
        <w:t>Exe</w:t>
      </w:r>
      <w:r w:rsidR="00D91312">
        <w:t xml:space="preserve">cutive </w:t>
      </w:r>
      <w:r w:rsidR="00FC1B1E">
        <w:t>Director of MIS will review and update the Subcontracting Policy for approval.</w:t>
      </w:r>
    </w:p>
    <w:p w14:paraId="19BF750E" w14:textId="24C8F36E" w:rsidR="00FC1B1E" w:rsidRDefault="00FC1B1E" w:rsidP="00AF2CC9">
      <w:pPr>
        <w:pStyle w:val="NoSpacing"/>
        <w:numPr>
          <w:ilvl w:val="0"/>
          <w:numId w:val="8"/>
        </w:numPr>
      </w:pPr>
      <w:r>
        <w:t xml:space="preserve">Submit subcontracting declarations to the </w:t>
      </w:r>
      <w:r w:rsidR="008E6F47">
        <w:t>D</w:t>
      </w:r>
      <w:r w:rsidR="00823F98">
        <w:t>f</w:t>
      </w:r>
      <w:r w:rsidR="008E6F47">
        <w:t>E</w:t>
      </w:r>
      <w:r>
        <w:t xml:space="preserve"> </w:t>
      </w:r>
      <w:r w:rsidRPr="00994C27">
        <w:t xml:space="preserve">as and </w:t>
      </w:r>
      <w:r w:rsidR="00994C27" w:rsidRPr="00994C27">
        <w:t xml:space="preserve">when </w:t>
      </w:r>
      <w:r w:rsidRPr="00994C27">
        <w:t>required.</w:t>
      </w:r>
    </w:p>
    <w:p w14:paraId="60FA5F05" w14:textId="2AC8FA0F" w:rsidR="00FC1B1E" w:rsidRPr="00D6662F" w:rsidRDefault="00FC1B1E" w:rsidP="00AF2CC9">
      <w:pPr>
        <w:pStyle w:val="NoSpacing"/>
        <w:numPr>
          <w:ilvl w:val="0"/>
          <w:numId w:val="8"/>
        </w:numPr>
      </w:pPr>
      <w:r w:rsidRPr="00FD5E02">
        <w:t>Maintain r</w:t>
      </w:r>
      <w:r w:rsidRPr="00D6662F">
        <w:t>ecords of partner delivery on the College’s student record</w:t>
      </w:r>
      <w:r>
        <w:t xml:space="preserve"> </w:t>
      </w:r>
      <w:r w:rsidRPr="00D6662F">
        <w:t>system in relation to evidence provided</w:t>
      </w:r>
      <w:r>
        <w:t>.</w:t>
      </w:r>
    </w:p>
    <w:p w14:paraId="001C20DB" w14:textId="54BCCE66" w:rsidR="00FC1B1E" w:rsidRDefault="00FC1B1E" w:rsidP="00AF2CC9">
      <w:pPr>
        <w:pStyle w:val="NoSpacing"/>
        <w:numPr>
          <w:ilvl w:val="0"/>
          <w:numId w:val="8"/>
        </w:numPr>
      </w:pPr>
      <w:r w:rsidRPr="00D6662F">
        <w:t>Rep</w:t>
      </w:r>
      <w:r w:rsidRPr="00FD5E02">
        <w:t>ort</w:t>
      </w:r>
      <w:r w:rsidRPr="00D6662F">
        <w:t xml:space="preserve"> partner out</w:t>
      </w:r>
      <w:r>
        <w:t>t</w:t>
      </w:r>
      <w:r w:rsidRPr="00D6662F">
        <w:t xml:space="preserve">urns to the </w:t>
      </w:r>
      <w:r w:rsidR="008E6F47">
        <w:t>D</w:t>
      </w:r>
      <w:r w:rsidR="00823F98">
        <w:t>f</w:t>
      </w:r>
      <w:r w:rsidR="008E6F47">
        <w:t>E</w:t>
      </w:r>
      <w:r w:rsidRPr="00D6662F">
        <w:t xml:space="preserve"> and internally to inform contract</w:t>
      </w:r>
      <w:r>
        <w:t xml:space="preserve"> </w:t>
      </w:r>
      <w:r w:rsidRPr="00D6662F">
        <w:t>management and Partner payments</w:t>
      </w:r>
      <w:r>
        <w:t>.</w:t>
      </w:r>
    </w:p>
    <w:p w14:paraId="52252376" w14:textId="53951AE4" w:rsidR="00FC1B1E" w:rsidRDefault="00FC1B1E" w:rsidP="00AF2CC9">
      <w:pPr>
        <w:pStyle w:val="NoSpacing"/>
        <w:numPr>
          <w:ilvl w:val="0"/>
          <w:numId w:val="8"/>
        </w:numPr>
      </w:pPr>
      <w:r w:rsidRPr="00FD5E02">
        <w:t>Maintain a</w:t>
      </w:r>
      <w:r w:rsidRPr="00D6662F">
        <w:t xml:space="preserve"> due diligence review of partners which informs partner</w:t>
      </w:r>
      <w:r>
        <w:t xml:space="preserve"> </w:t>
      </w:r>
      <w:r w:rsidRPr="00D6662F">
        <w:t>selection processes and the exposure/ risk per partner</w:t>
      </w:r>
      <w:r>
        <w:t>.</w:t>
      </w:r>
    </w:p>
    <w:p w14:paraId="75CE3EA8" w14:textId="77777777" w:rsidR="00FC1B1E" w:rsidRPr="008F4244" w:rsidRDefault="00FC1B1E" w:rsidP="00AF2CC9">
      <w:pPr>
        <w:pStyle w:val="ListParagraph"/>
        <w:numPr>
          <w:ilvl w:val="0"/>
          <w:numId w:val="8"/>
        </w:numPr>
        <w:spacing w:after="160" w:line="259" w:lineRule="auto"/>
      </w:pPr>
      <w:r>
        <w:t xml:space="preserve">Oversee </w:t>
      </w:r>
      <w:r w:rsidRPr="008F4244">
        <w:t>completion of appropriate procurement activities including the completion of financial and non-financial due diligence reviews.</w:t>
      </w:r>
    </w:p>
    <w:p w14:paraId="0446A4A0" w14:textId="77777777" w:rsidR="00FC1B1E" w:rsidRDefault="00FC1B1E" w:rsidP="00AF2CC9">
      <w:pPr>
        <w:pStyle w:val="ListParagraph"/>
        <w:numPr>
          <w:ilvl w:val="0"/>
          <w:numId w:val="8"/>
        </w:numPr>
        <w:spacing w:after="160" w:line="259" w:lineRule="auto"/>
      </w:pPr>
      <w:r w:rsidRPr="008F4244">
        <w:t>Ensure signed contract</w:t>
      </w:r>
      <w:r>
        <w:t xml:space="preserve">s are </w:t>
      </w:r>
      <w:r w:rsidRPr="008F4244">
        <w:t>in place prior to delivery</w:t>
      </w:r>
      <w:r>
        <w:t xml:space="preserve"> and stored in line with </w:t>
      </w:r>
      <w:proofErr w:type="gramStart"/>
      <w:r>
        <w:t>College</w:t>
      </w:r>
      <w:proofErr w:type="gramEnd"/>
      <w:r>
        <w:t xml:space="preserve"> policies</w:t>
      </w:r>
      <w:r w:rsidRPr="008F4244">
        <w:t>.</w:t>
      </w:r>
    </w:p>
    <w:p w14:paraId="25264FB0" w14:textId="77777777" w:rsidR="00FC1B1E" w:rsidRPr="00B65C28" w:rsidRDefault="00FC1B1E" w:rsidP="00FC1B1E">
      <w:pPr>
        <w:pStyle w:val="NoSpacing"/>
        <w:rPr>
          <w:b/>
          <w:bCs/>
        </w:rPr>
      </w:pPr>
      <w:r w:rsidRPr="00B65C28">
        <w:rPr>
          <w:b/>
          <w:bCs/>
        </w:rPr>
        <w:t xml:space="preserve">Finance </w:t>
      </w:r>
      <w:r>
        <w:rPr>
          <w:b/>
          <w:bCs/>
        </w:rPr>
        <w:t xml:space="preserve">&amp; Procurement </w:t>
      </w:r>
      <w:r w:rsidRPr="00B65C28">
        <w:rPr>
          <w:b/>
          <w:bCs/>
        </w:rPr>
        <w:t>Team</w:t>
      </w:r>
    </w:p>
    <w:p w14:paraId="49CBEA4E" w14:textId="277CD41D" w:rsidR="00FC1B1E" w:rsidRPr="00D6662F" w:rsidRDefault="00FC1B1E" w:rsidP="00AF2CC9">
      <w:pPr>
        <w:pStyle w:val="NoSpacing"/>
        <w:numPr>
          <w:ilvl w:val="0"/>
          <w:numId w:val="8"/>
        </w:numPr>
      </w:pPr>
      <w:r w:rsidRPr="00D6662F">
        <w:t>Agree a payment timetable to partners</w:t>
      </w:r>
      <w:r>
        <w:t>.</w:t>
      </w:r>
    </w:p>
    <w:p w14:paraId="2EE8843C" w14:textId="2CE6CB5E" w:rsidR="00FC1B1E" w:rsidRDefault="00FC1B1E" w:rsidP="00AF2CC9">
      <w:pPr>
        <w:pStyle w:val="NoSpacing"/>
        <w:numPr>
          <w:ilvl w:val="0"/>
          <w:numId w:val="8"/>
        </w:numPr>
      </w:pPr>
      <w:r w:rsidRPr="00D6662F">
        <w:t>Mak</w:t>
      </w:r>
      <w:r w:rsidR="00A22CCD">
        <w:t>e</w:t>
      </w:r>
      <w:r w:rsidRPr="00D6662F">
        <w:t xml:space="preserve"> accurate payments to partners that are timely in accordance</w:t>
      </w:r>
      <w:r>
        <w:t xml:space="preserve"> </w:t>
      </w:r>
      <w:r w:rsidRPr="00D6662F">
        <w:t>with the funding rules</w:t>
      </w:r>
      <w:r>
        <w:t>.</w:t>
      </w:r>
    </w:p>
    <w:p w14:paraId="2925B9BB" w14:textId="77777777" w:rsidR="00FC1B1E" w:rsidRDefault="00FC1B1E" w:rsidP="00FC1B1E">
      <w:pPr>
        <w:pStyle w:val="NoSpacing"/>
      </w:pPr>
    </w:p>
    <w:p w14:paraId="2752FCCC" w14:textId="3D8EF101" w:rsidR="00FC1B1E" w:rsidRDefault="00DD1D1C" w:rsidP="00FC1B1E">
      <w:pPr>
        <w:pStyle w:val="NoSpacing"/>
        <w:rPr>
          <w:b/>
          <w:bCs/>
        </w:rPr>
      </w:pPr>
      <w:r>
        <w:rPr>
          <w:b/>
          <w:bCs/>
        </w:rPr>
        <w:t>Partners</w:t>
      </w:r>
      <w:r w:rsidR="00FC1B1E">
        <w:rPr>
          <w:b/>
          <w:bCs/>
        </w:rPr>
        <w:t xml:space="preserve"> and their employees </w:t>
      </w:r>
    </w:p>
    <w:p w14:paraId="35B8EAFD" w14:textId="676E6550" w:rsidR="00FC1B1E" w:rsidRDefault="00FC1B1E" w:rsidP="00AF2CC9">
      <w:pPr>
        <w:pStyle w:val="NoSpacing"/>
        <w:numPr>
          <w:ilvl w:val="0"/>
          <w:numId w:val="9"/>
        </w:numPr>
      </w:pPr>
      <w:r>
        <w:t>To fulfil the requirements of the Agreement relating to</w:t>
      </w:r>
      <w:r w:rsidR="00753731">
        <w:t xml:space="preserve"> the</w:t>
      </w:r>
      <w:r>
        <w:t xml:space="preserve"> College policies including Health and Safety, Safeguarding, Equality and Diversity, </w:t>
      </w:r>
      <w:r w:rsidR="00DD1D1C">
        <w:t xml:space="preserve">Trips and Visits and </w:t>
      </w:r>
      <w:r>
        <w:t xml:space="preserve">Audit and Quality compliance. </w:t>
      </w:r>
    </w:p>
    <w:p w14:paraId="121BAD53" w14:textId="77777777" w:rsidR="00FC1B1E" w:rsidRDefault="00FC1B1E" w:rsidP="00AF2CC9">
      <w:pPr>
        <w:pStyle w:val="NoSpacing"/>
        <w:numPr>
          <w:ilvl w:val="0"/>
          <w:numId w:val="9"/>
        </w:numPr>
      </w:pPr>
      <w:r>
        <w:t xml:space="preserve">To comply with the College’s Policies including safety standards and meet their statutory obligations with regards to Health and Safety. </w:t>
      </w:r>
    </w:p>
    <w:p w14:paraId="4AD51295" w14:textId="77777777" w:rsidR="00FC1B1E" w:rsidRDefault="00FC1B1E" w:rsidP="00AF2CC9">
      <w:pPr>
        <w:pStyle w:val="NoSpacing"/>
        <w:numPr>
          <w:ilvl w:val="0"/>
          <w:numId w:val="9"/>
        </w:numPr>
      </w:pPr>
      <w:r>
        <w:t>To ensure that any accident, incident or near miss arising is reported in line with the College procedures.</w:t>
      </w:r>
    </w:p>
    <w:p w14:paraId="6B36B844" w14:textId="2866AC6E" w:rsidR="00FC1B1E" w:rsidRDefault="00FC1B1E" w:rsidP="00AF2CC9">
      <w:pPr>
        <w:pStyle w:val="NoSpacing"/>
        <w:numPr>
          <w:ilvl w:val="0"/>
          <w:numId w:val="9"/>
        </w:numPr>
      </w:pPr>
      <w:r>
        <w:t>To i</w:t>
      </w:r>
      <w:r w:rsidRPr="00442A00">
        <w:t xml:space="preserve">nform </w:t>
      </w:r>
      <w:r w:rsidR="00DA13CB">
        <w:t>the College</w:t>
      </w:r>
      <w:r w:rsidRPr="00442A00">
        <w:t xml:space="preserve"> of any changes of: </w:t>
      </w:r>
    </w:p>
    <w:p w14:paraId="2D47F640" w14:textId="109D1A71" w:rsidR="00FC1B1E" w:rsidRDefault="00FC1B1E" w:rsidP="00AF2CC9">
      <w:pPr>
        <w:pStyle w:val="NoSpacing"/>
        <w:numPr>
          <w:ilvl w:val="1"/>
          <w:numId w:val="9"/>
        </w:numPr>
      </w:pPr>
      <w:r w:rsidRPr="00442A00">
        <w:t>Ownership of the organisation</w:t>
      </w:r>
      <w:r w:rsidR="00F85C8A">
        <w:t>.</w:t>
      </w:r>
    </w:p>
    <w:p w14:paraId="3CBEBE4E" w14:textId="6B6C3E4C" w:rsidR="00FC1B1E" w:rsidRDefault="00FC1B1E" w:rsidP="00AF2CC9">
      <w:pPr>
        <w:pStyle w:val="NoSpacing"/>
        <w:numPr>
          <w:ilvl w:val="1"/>
          <w:numId w:val="9"/>
        </w:numPr>
      </w:pPr>
      <w:r w:rsidRPr="00442A00">
        <w:t>The management structure of the organisation</w:t>
      </w:r>
      <w:r w:rsidR="00F85C8A">
        <w:t>.</w:t>
      </w:r>
    </w:p>
    <w:p w14:paraId="7C9793FE" w14:textId="37D62CA9" w:rsidR="00FC1B1E" w:rsidRDefault="00FC1B1E" w:rsidP="00AF2CC9">
      <w:pPr>
        <w:pStyle w:val="NoSpacing"/>
        <w:numPr>
          <w:ilvl w:val="1"/>
          <w:numId w:val="9"/>
        </w:numPr>
      </w:pPr>
      <w:r w:rsidRPr="00442A00">
        <w:t>Loss of centre accreditation / direct claim status</w:t>
      </w:r>
      <w:r w:rsidR="00F85C8A">
        <w:t>.</w:t>
      </w:r>
    </w:p>
    <w:p w14:paraId="28F78BB1" w14:textId="01E9549F" w:rsidR="00201AD9" w:rsidRPr="000822F3" w:rsidRDefault="00FC1B1E" w:rsidP="00AF2CC9">
      <w:pPr>
        <w:pStyle w:val="NoSpacing"/>
        <w:numPr>
          <w:ilvl w:val="1"/>
          <w:numId w:val="9"/>
        </w:numPr>
      </w:pPr>
      <w:r w:rsidRPr="00442A00">
        <w:t>Status in relation to winding up orders</w:t>
      </w:r>
      <w:r w:rsidR="00F85C8A">
        <w:t>.</w:t>
      </w:r>
    </w:p>
    <w:p w14:paraId="6AF833E6" w14:textId="77777777" w:rsidR="00B32530" w:rsidRPr="000822F3" w:rsidRDefault="00B32530" w:rsidP="00B32530"/>
    <w:p w14:paraId="1FC75641" w14:textId="77777777" w:rsidR="00414A9D" w:rsidRPr="000822F3" w:rsidRDefault="00414A9D" w:rsidP="00686E93">
      <w:pPr>
        <w:rPr>
          <w:rFonts w:cs="Arial"/>
        </w:rPr>
      </w:pPr>
    </w:p>
    <w:p w14:paraId="2E907F1A" w14:textId="77777777" w:rsidR="00F24904" w:rsidRPr="000822F3" w:rsidRDefault="00F24904" w:rsidP="00686E93">
      <w:pPr>
        <w:rPr>
          <w:rFonts w:cs="Arial"/>
        </w:rPr>
      </w:pPr>
    </w:p>
    <w:sectPr w:rsidR="00F24904" w:rsidRPr="000822F3" w:rsidSect="004F34FC">
      <w:headerReference w:type="default" r:id="rId12"/>
      <w:headerReference w:type="first" r:id="rId13"/>
      <w:footerReference w:type="first" r:id="rId14"/>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EF89F" w14:textId="77777777" w:rsidR="009D350B" w:rsidRDefault="009D350B" w:rsidP="00E275F0">
      <w:r>
        <w:separator/>
      </w:r>
    </w:p>
  </w:endnote>
  <w:endnote w:type="continuationSeparator" w:id="0">
    <w:p w14:paraId="02356A18" w14:textId="77777777" w:rsidR="009D350B" w:rsidRDefault="009D350B" w:rsidP="00E275F0">
      <w:r>
        <w:continuationSeparator/>
      </w:r>
    </w:p>
  </w:endnote>
  <w:endnote w:type="continuationNotice" w:id="1">
    <w:p w14:paraId="1AFEB6E9" w14:textId="77777777" w:rsidR="009D350B" w:rsidRDefault="009D3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panose1 w:val="02000506040000020004"/>
    <w:charset w:val="00"/>
    <w:family w:val="modern"/>
    <w:notTrueType/>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90CB" w14:textId="571A7F24" w:rsidR="00DB0F37" w:rsidRDefault="00DB0F37" w:rsidP="00DB0F37">
    <w:pPr>
      <w:pStyle w:val="Footer"/>
      <w:rPr>
        <w:sz w:val="16"/>
        <w:szCs w:val="16"/>
      </w:rPr>
    </w:pPr>
    <w:r>
      <w:rPr>
        <w:sz w:val="16"/>
        <w:szCs w:val="16"/>
      </w:rPr>
      <w:t xml:space="preserve">Approved at Executive Meeting Monday </w:t>
    </w:r>
    <w:r>
      <w:rPr>
        <w:sz w:val="16"/>
        <w:szCs w:val="16"/>
      </w:rPr>
      <w:t>27 April</w:t>
    </w:r>
    <w:r>
      <w:rPr>
        <w:sz w:val="16"/>
        <w:szCs w:val="16"/>
      </w:rPr>
      <w:t xml:space="preserve"> 2026 and Board of Governors Meeting Tuesday </w:t>
    </w:r>
    <w:r>
      <w:rPr>
        <w:sz w:val="16"/>
        <w:szCs w:val="16"/>
      </w:rPr>
      <w:t xml:space="preserve">30 June </w:t>
    </w:r>
    <w:r>
      <w:rPr>
        <w:sz w:val="16"/>
        <w:szCs w:val="16"/>
      </w:rPr>
      <w:t>2026</w:t>
    </w:r>
  </w:p>
  <w:p w14:paraId="1B41C5B3" w14:textId="77777777" w:rsidR="00DB0F37" w:rsidRDefault="00DB0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147DC" w14:textId="77777777" w:rsidR="009D350B" w:rsidRDefault="009D350B" w:rsidP="00E275F0">
      <w:r>
        <w:separator/>
      </w:r>
    </w:p>
  </w:footnote>
  <w:footnote w:type="continuationSeparator" w:id="0">
    <w:p w14:paraId="3D8650E5" w14:textId="77777777" w:rsidR="009D350B" w:rsidRDefault="009D350B" w:rsidP="00E275F0">
      <w:r>
        <w:continuationSeparator/>
      </w:r>
    </w:p>
  </w:footnote>
  <w:footnote w:type="continuationNotice" w:id="1">
    <w:p w14:paraId="2287BA0C" w14:textId="77777777" w:rsidR="009D350B" w:rsidRDefault="009D35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02B4" w14:textId="77777777" w:rsidR="00E275F0" w:rsidRDefault="00E275F0" w:rsidP="00E275F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E42E" w14:textId="27BB71D9" w:rsidR="00E275F0" w:rsidRDefault="00DB0F37" w:rsidP="00574904">
    <w:pPr>
      <w:pStyle w:val="Header"/>
      <w:jc w:val="center"/>
    </w:pPr>
    <w:r>
      <w:rPr>
        <w:noProof/>
      </w:rPr>
      <w:drawing>
        <wp:anchor distT="0" distB="0" distL="114300" distR="114300" simplePos="0" relativeHeight="251660288" behindDoc="0" locked="0" layoutInCell="1" allowOverlap="1" wp14:anchorId="5D0B5C02" wp14:editId="28AE76C5">
          <wp:simplePos x="0" y="0"/>
          <wp:positionH relativeFrom="margin">
            <wp:posOffset>295275</wp:posOffset>
          </wp:positionH>
          <wp:positionV relativeFrom="paragraph">
            <wp:posOffset>-181610</wp:posOffset>
          </wp:positionV>
          <wp:extent cx="2589077" cy="904241"/>
          <wp:effectExtent l="0" t="0" r="1723" b="0"/>
          <wp:wrapSquare wrapText="bothSides"/>
          <wp:docPr id="937574311" name="Picture 2" descr="A logo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7212" t="17160" r="7562" b="14880"/>
                  <a:stretch>
                    <a:fillRect/>
                  </a:stretch>
                </pic:blipFill>
                <pic:spPr>
                  <a:xfrm>
                    <a:off x="0" y="0"/>
                    <a:ext cx="2589077" cy="904241"/>
                  </a:xfrm>
                  <a:prstGeom prst="rect">
                    <a:avLst/>
                  </a:prstGeom>
                  <a:noFill/>
                  <a:ln>
                    <a:noFill/>
                    <a:prstDash/>
                  </a:ln>
                </pic:spPr>
              </pic:pic>
            </a:graphicData>
          </a:graphic>
        </wp:anchor>
      </w:drawing>
    </w:r>
    <w:r w:rsidR="00544395">
      <w:rPr>
        <w:noProof/>
        <w:lang w:eastAsia="en-GB"/>
      </w:rPr>
      <w:drawing>
        <wp:anchor distT="0" distB="0" distL="114300" distR="114300" simplePos="0" relativeHeight="251658240" behindDoc="0" locked="0" layoutInCell="1" allowOverlap="1" wp14:anchorId="46593723" wp14:editId="6B9726D5">
          <wp:simplePos x="0" y="0"/>
          <wp:positionH relativeFrom="column">
            <wp:posOffset>3673475</wp:posOffset>
          </wp:positionH>
          <wp:positionV relativeFrom="paragraph">
            <wp:posOffset>18415</wp:posOffset>
          </wp:positionV>
          <wp:extent cx="2142000" cy="51480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42000" cy="51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BBA"/>
    <w:multiLevelType w:val="hybridMultilevel"/>
    <w:tmpl w:val="91C848EE"/>
    <w:lvl w:ilvl="0" w:tplc="2E8AE31A">
      <w:start w:val="10"/>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7FF7"/>
    <w:multiLevelType w:val="hybridMultilevel"/>
    <w:tmpl w:val="D1D80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E71BA"/>
    <w:multiLevelType w:val="hybridMultilevel"/>
    <w:tmpl w:val="5E58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87150"/>
    <w:multiLevelType w:val="hybridMultilevel"/>
    <w:tmpl w:val="E0442386"/>
    <w:lvl w:ilvl="0" w:tplc="644C580E">
      <w:numFmt w:val="bullet"/>
      <w:lvlText w:val="•"/>
      <w:lvlJc w:val="left"/>
      <w:pPr>
        <w:ind w:left="720" w:hanging="360"/>
      </w:pPr>
      <w:rPr>
        <w:rFonts w:ascii="FS Me" w:eastAsiaTheme="minorEastAsia" w:hAnsi="FS Me"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635709"/>
    <w:multiLevelType w:val="hybridMultilevel"/>
    <w:tmpl w:val="7F601A46"/>
    <w:lvl w:ilvl="0" w:tplc="E684EB0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F4041"/>
    <w:multiLevelType w:val="hybridMultilevel"/>
    <w:tmpl w:val="4DAA0688"/>
    <w:lvl w:ilvl="0" w:tplc="FFFFFFFF">
      <w:start w:val="1"/>
      <w:numFmt w:val="bullet"/>
      <w:lvlText w:val="•"/>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BE72B16"/>
    <w:multiLevelType w:val="hybridMultilevel"/>
    <w:tmpl w:val="4DFC0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37CB5"/>
    <w:multiLevelType w:val="hybridMultilevel"/>
    <w:tmpl w:val="575AA878"/>
    <w:lvl w:ilvl="0" w:tplc="AAD8D65C">
      <w:start w:val="1"/>
      <w:numFmt w:val="decimal"/>
      <w:lvlText w:val="%1."/>
      <w:lvlJc w:val="left"/>
      <w:pPr>
        <w:ind w:left="0" w:hanging="360"/>
      </w:pPr>
      <w:rPr>
        <w:b/>
        <w:bCs/>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8" w15:restartNumberingAfterBreak="0">
    <w:nsid w:val="22FB335A"/>
    <w:multiLevelType w:val="hybridMultilevel"/>
    <w:tmpl w:val="D2327D56"/>
    <w:lvl w:ilvl="0" w:tplc="644C580E">
      <w:numFmt w:val="bullet"/>
      <w:lvlText w:val="•"/>
      <w:lvlJc w:val="left"/>
      <w:pPr>
        <w:ind w:left="720" w:hanging="360"/>
      </w:pPr>
      <w:rPr>
        <w:rFonts w:ascii="FS Me" w:eastAsiaTheme="minorEastAsia" w:hAnsi="FS Me"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1A7265"/>
    <w:multiLevelType w:val="hybridMultilevel"/>
    <w:tmpl w:val="D83277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66478FA"/>
    <w:multiLevelType w:val="hybridMultilevel"/>
    <w:tmpl w:val="B856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E242C"/>
    <w:multiLevelType w:val="hybridMultilevel"/>
    <w:tmpl w:val="D7903428"/>
    <w:lvl w:ilvl="0" w:tplc="644C580E">
      <w:numFmt w:val="bullet"/>
      <w:lvlText w:val="•"/>
      <w:lvlJc w:val="left"/>
      <w:pPr>
        <w:ind w:left="720" w:hanging="360"/>
      </w:pPr>
      <w:rPr>
        <w:rFonts w:ascii="FS Me" w:eastAsiaTheme="minorEastAsia" w:hAnsi="FS Me"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2767E2"/>
    <w:multiLevelType w:val="hybridMultilevel"/>
    <w:tmpl w:val="24DEE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2A2B49"/>
    <w:multiLevelType w:val="hybridMultilevel"/>
    <w:tmpl w:val="AFBC3186"/>
    <w:lvl w:ilvl="0" w:tplc="37286ADC">
      <w:start w:val="1"/>
      <w:numFmt w:val="lowerLetter"/>
      <w:pStyle w:val="Lettered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690DF8"/>
    <w:multiLevelType w:val="hybridMultilevel"/>
    <w:tmpl w:val="3C945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914C52"/>
    <w:multiLevelType w:val="hybridMultilevel"/>
    <w:tmpl w:val="67CC53D2"/>
    <w:lvl w:ilvl="0" w:tplc="644C580E">
      <w:numFmt w:val="bullet"/>
      <w:lvlText w:val="•"/>
      <w:lvlJc w:val="left"/>
      <w:pPr>
        <w:ind w:left="720" w:hanging="360"/>
      </w:pPr>
      <w:rPr>
        <w:rFonts w:ascii="FS Me" w:eastAsiaTheme="minorEastAsia" w:hAnsi="FS M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A83F97"/>
    <w:multiLevelType w:val="hybridMultilevel"/>
    <w:tmpl w:val="31A28B48"/>
    <w:lvl w:ilvl="0" w:tplc="644C580E">
      <w:numFmt w:val="bullet"/>
      <w:lvlText w:val="•"/>
      <w:lvlJc w:val="left"/>
      <w:pPr>
        <w:ind w:left="720" w:hanging="360"/>
      </w:pPr>
      <w:rPr>
        <w:rFonts w:ascii="FS Me" w:eastAsiaTheme="minorEastAsia" w:hAnsi="FS M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843ABE"/>
    <w:multiLevelType w:val="hybridMultilevel"/>
    <w:tmpl w:val="2B50281E"/>
    <w:lvl w:ilvl="0" w:tplc="FFFFFFFF">
      <w:start w:val="1"/>
      <w:numFmt w:val="decimal"/>
      <w:pStyle w:val="BodyText2"/>
      <w:lvlText w:val="%1."/>
      <w:lvlJc w:val="left"/>
      <w:pPr>
        <w:tabs>
          <w:tab w:val="num" w:pos="502"/>
        </w:tabs>
        <w:ind w:left="502" w:hanging="360"/>
      </w:p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EDC7BA0"/>
    <w:multiLevelType w:val="hybridMultilevel"/>
    <w:tmpl w:val="DA2699BE"/>
    <w:lvl w:ilvl="0" w:tplc="7C7E54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0467AE"/>
    <w:multiLevelType w:val="hybridMultilevel"/>
    <w:tmpl w:val="49D60C00"/>
    <w:lvl w:ilvl="0" w:tplc="644C580E">
      <w:numFmt w:val="bullet"/>
      <w:lvlText w:val="•"/>
      <w:lvlJc w:val="left"/>
      <w:pPr>
        <w:ind w:left="720" w:hanging="360"/>
      </w:pPr>
      <w:rPr>
        <w:rFonts w:ascii="FS Me" w:eastAsiaTheme="minorEastAsia" w:hAnsi="FS Me"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514B8C"/>
    <w:multiLevelType w:val="hybridMultilevel"/>
    <w:tmpl w:val="140E9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273E6A"/>
    <w:multiLevelType w:val="hybridMultilevel"/>
    <w:tmpl w:val="80B05078"/>
    <w:lvl w:ilvl="0" w:tplc="847283F6">
      <w:start w:val="2"/>
      <w:numFmt w:val="decimal"/>
      <w:lvlText w:val="%1."/>
      <w:lvlJc w:val="left"/>
      <w:pPr>
        <w:ind w:left="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94E18D4"/>
    <w:multiLevelType w:val="hybridMultilevel"/>
    <w:tmpl w:val="44CC9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B763EE"/>
    <w:multiLevelType w:val="hybridMultilevel"/>
    <w:tmpl w:val="24BA35FC"/>
    <w:lvl w:ilvl="0" w:tplc="A882F9B6">
      <w:start w:val="1"/>
      <w:numFmt w:val="bullet"/>
      <w:pStyle w:val="BulletList1"/>
      <w:lvlText w:val=""/>
      <w:lvlJc w:val="left"/>
      <w:pPr>
        <w:ind w:left="720" w:hanging="360"/>
      </w:pPr>
      <w:rPr>
        <w:rFonts w:ascii="Symbol" w:hAnsi="Symbol" w:hint="default"/>
      </w:rPr>
    </w:lvl>
    <w:lvl w:ilvl="1" w:tplc="5086B6FE">
      <w:start w:val="1"/>
      <w:numFmt w:val="bullet"/>
      <w:pStyle w:val="BulletLis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F50139"/>
    <w:multiLevelType w:val="hybridMultilevel"/>
    <w:tmpl w:val="155CB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854A04"/>
    <w:multiLevelType w:val="hybridMultilevel"/>
    <w:tmpl w:val="9B94E7F8"/>
    <w:lvl w:ilvl="0" w:tplc="7386385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CF3A1B"/>
    <w:multiLevelType w:val="hybridMultilevel"/>
    <w:tmpl w:val="BAF4ADC2"/>
    <w:lvl w:ilvl="0" w:tplc="EEA4D090">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453A1D"/>
    <w:multiLevelType w:val="hybridMultilevel"/>
    <w:tmpl w:val="AD2C03A4"/>
    <w:lvl w:ilvl="0" w:tplc="E1D2E5CA">
      <w:start w:val="4"/>
      <w:numFmt w:val="decimal"/>
      <w:lvlText w:val="%1."/>
      <w:lvlJc w:val="left"/>
      <w:pPr>
        <w:ind w:left="-360" w:hanging="360"/>
      </w:pPr>
      <w:rPr>
        <w:rFonts w:hint="default"/>
        <w:b/>
        <w:bCs/>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8" w15:restartNumberingAfterBreak="0">
    <w:nsid w:val="4553496F"/>
    <w:multiLevelType w:val="hybridMultilevel"/>
    <w:tmpl w:val="D19E2716"/>
    <w:lvl w:ilvl="0" w:tplc="E684EB0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FC1600"/>
    <w:multiLevelType w:val="hybridMultilevel"/>
    <w:tmpl w:val="C2C6B146"/>
    <w:lvl w:ilvl="0" w:tplc="FFFFFFFF">
      <w:start w:val="1"/>
      <w:numFmt w:val="bullet"/>
      <w:lvlText w:val="•"/>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6C70A5E"/>
    <w:multiLevelType w:val="hybridMultilevel"/>
    <w:tmpl w:val="89C48782"/>
    <w:lvl w:ilvl="0" w:tplc="2A0C8A54">
      <w:start w:val="9"/>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501ADA"/>
    <w:multiLevelType w:val="hybridMultilevel"/>
    <w:tmpl w:val="AB36C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644214"/>
    <w:multiLevelType w:val="hybridMultilevel"/>
    <w:tmpl w:val="E3B063FC"/>
    <w:lvl w:ilvl="0" w:tplc="644C580E">
      <w:numFmt w:val="bullet"/>
      <w:lvlText w:val="•"/>
      <w:lvlJc w:val="left"/>
      <w:pPr>
        <w:ind w:left="720" w:hanging="360"/>
      </w:pPr>
      <w:rPr>
        <w:rFonts w:ascii="FS Me" w:eastAsiaTheme="minorEastAsia" w:hAnsi="FS Me"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EB70075"/>
    <w:multiLevelType w:val="hybridMultilevel"/>
    <w:tmpl w:val="140090D2"/>
    <w:lvl w:ilvl="0" w:tplc="B368105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F122055"/>
    <w:multiLevelType w:val="hybridMultilevel"/>
    <w:tmpl w:val="7C7E7CEA"/>
    <w:lvl w:ilvl="0" w:tplc="644C580E">
      <w:numFmt w:val="bullet"/>
      <w:lvlText w:val="•"/>
      <w:lvlJc w:val="left"/>
      <w:pPr>
        <w:ind w:left="720" w:hanging="360"/>
      </w:pPr>
      <w:rPr>
        <w:rFonts w:ascii="FS Me" w:eastAsiaTheme="minorEastAsia" w:hAnsi="FS Me"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FA07732"/>
    <w:multiLevelType w:val="hybridMultilevel"/>
    <w:tmpl w:val="045A2F92"/>
    <w:lvl w:ilvl="0" w:tplc="3478470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1F3957"/>
    <w:multiLevelType w:val="hybridMultilevel"/>
    <w:tmpl w:val="2090829C"/>
    <w:lvl w:ilvl="0" w:tplc="3BB85884">
      <w:start w:val="5"/>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71D35F1"/>
    <w:multiLevelType w:val="hybridMultilevel"/>
    <w:tmpl w:val="116230E0"/>
    <w:lvl w:ilvl="0" w:tplc="8434659A">
      <w:start w:val="7"/>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EC0245"/>
    <w:multiLevelType w:val="hybridMultilevel"/>
    <w:tmpl w:val="043A6780"/>
    <w:lvl w:ilvl="0" w:tplc="644C580E">
      <w:numFmt w:val="bullet"/>
      <w:lvlText w:val="•"/>
      <w:lvlJc w:val="left"/>
      <w:pPr>
        <w:ind w:left="720" w:hanging="360"/>
      </w:pPr>
      <w:rPr>
        <w:rFonts w:ascii="FS Me" w:eastAsiaTheme="minorEastAsia" w:hAnsi="FS Me"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D497307"/>
    <w:multiLevelType w:val="hybridMultilevel"/>
    <w:tmpl w:val="99EEC096"/>
    <w:lvl w:ilvl="0" w:tplc="50EE54B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F2D0F20"/>
    <w:multiLevelType w:val="hybridMultilevel"/>
    <w:tmpl w:val="1408E136"/>
    <w:lvl w:ilvl="0" w:tplc="511E693A">
      <w:start w:val="1"/>
      <w:numFmt w:val="decimal"/>
      <w:pStyle w:val="Numbered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3034429"/>
    <w:multiLevelType w:val="hybridMultilevel"/>
    <w:tmpl w:val="6F1C0738"/>
    <w:lvl w:ilvl="0" w:tplc="69684BAC">
      <w:start w:val="8"/>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3E63EBE"/>
    <w:multiLevelType w:val="hybridMultilevel"/>
    <w:tmpl w:val="9DB49524"/>
    <w:lvl w:ilvl="0" w:tplc="66041AC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4FE4024"/>
    <w:multiLevelType w:val="hybridMultilevel"/>
    <w:tmpl w:val="E89654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5B7703E"/>
    <w:multiLevelType w:val="hybridMultilevel"/>
    <w:tmpl w:val="0C5A4BAE"/>
    <w:lvl w:ilvl="0" w:tplc="4142E23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7FC797E"/>
    <w:multiLevelType w:val="hybridMultilevel"/>
    <w:tmpl w:val="5D261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863816"/>
    <w:multiLevelType w:val="hybridMultilevel"/>
    <w:tmpl w:val="A88A6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E90C0B"/>
    <w:multiLevelType w:val="hybridMultilevel"/>
    <w:tmpl w:val="8D1857BC"/>
    <w:lvl w:ilvl="0" w:tplc="D45C87F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B6E17A4"/>
    <w:multiLevelType w:val="multilevel"/>
    <w:tmpl w:val="5D36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18D6EF0"/>
    <w:multiLevelType w:val="hybridMultilevel"/>
    <w:tmpl w:val="594659EE"/>
    <w:lvl w:ilvl="0" w:tplc="644C580E">
      <w:numFmt w:val="bullet"/>
      <w:lvlText w:val="•"/>
      <w:lvlJc w:val="left"/>
      <w:pPr>
        <w:ind w:left="720" w:hanging="360"/>
      </w:pPr>
      <w:rPr>
        <w:rFonts w:ascii="FS Me" w:eastAsiaTheme="minorEastAsia" w:hAnsi="FS Me"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2DC44CF"/>
    <w:multiLevelType w:val="hybridMultilevel"/>
    <w:tmpl w:val="D64A7EC8"/>
    <w:lvl w:ilvl="0" w:tplc="276CCB76">
      <w:start w:val="3"/>
      <w:numFmt w:val="decimal"/>
      <w:lvlText w:val="%1."/>
      <w:lvlJc w:val="left"/>
      <w:pPr>
        <w:ind w:left="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A335A37"/>
    <w:multiLevelType w:val="hybridMultilevel"/>
    <w:tmpl w:val="5A88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A6791F"/>
    <w:multiLevelType w:val="hybridMultilevel"/>
    <w:tmpl w:val="D7A0C31A"/>
    <w:lvl w:ilvl="0" w:tplc="644C580E">
      <w:numFmt w:val="bullet"/>
      <w:lvlText w:val="•"/>
      <w:lvlJc w:val="left"/>
      <w:pPr>
        <w:ind w:left="720" w:hanging="360"/>
      </w:pPr>
      <w:rPr>
        <w:rFonts w:ascii="FS Me" w:eastAsiaTheme="minorEastAsia" w:hAnsi="FS Me"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50621443">
    <w:abstractNumId w:val="23"/>
  </w:num>
  <w:num w:numId="2" w16cid:durableId="699164118">
    <w:abstractNumId w:val="40"/>
  </w:num>
  <w:num w:numId="3" w16cid:durableId="1795174715">
    <w:abstractNumId w:val="17"/>
  </w:num>
  <w:num w:numId="4" w16cid:durableId="1909144300">
    <w:abstractNumId w:val="13"/>
  </w:num>
  <w:num w:numId="5" w16cid:durableId="1621182442">
    <w:abstractNumId w:val="43"/>
  </w:num>
  <w:num w:numId="6" w16cid:durableId="1111782971">
    <w:abstractNumId w:val="26"/>
  </w:num>
  <w:num w:numId="7" w16cid:durableId="545725353">
    <w:abstractNumId w:val="7"/>
  </w:num>
  <w:num w:numId="8" w16cid:durableId="338851398">
    <w:abstractNumId w:val="20"/>
  </w:num>
  <w:num w:numId="9" w16cid:durableId="1887907352">
    <w:abstractNumId w:val="6"/>
  </w:num>
  <w:num w:numId="10" w16cid:durableId="837773837">
    <w:abstractNumId w:val="15"/>
  </w:num>
  <w:num w:numId="11" w16cid:durableId="543102175">
    <w:abstractNumId w:val="45"/>
  </w:num>
  <w:num w:numId="12" w16cid:durableId="1975672894">
    <w:abstractNumId w:val="11"/>
  </w:num>
  <w:num w:numId="13" w16cid:durableId="1160460157">
    <w:abstractNumId w:val="38"/>
  </w:num>
  <w:num w:numId="14" w16cid:durableId="1565867551">
    <w:abstractNumId w:val="52"/>
  </w:num>
  <w:num w:numId="15" w16cid:durableId="866453171">
    <w:abstractNumId w:val="49"/>
  </w:num>
  <w:num w:numId="16" w16cid:durableId="1290546151">
    <w:abstractNumId w:val="32"/>
  </w:num>
  <w:num w:numId="17" w16cid:durableId="1179277084">
    <w:abstractNumId w:val="19"/>
  </w:num>
  <w:num w:numId="18" w16cid:durableId="1025330393">
    <w:abstractNumId w:val="8"/>
  </w:num>
  <w:num w:numId="19" w16cid:durableId="1511796588">
    <w:abstractNumId w:val="3"/>
  </w:num>
  <w:num w:numId="20" w16cid:durableId="185605911">
    <w:abstractNumId w:val="34"/>
  </w:num>
  <w:num w:numId="21" w16cid:durableId="954170130">
    <w:abstractNumId w:val="5"/>
  </w:num>
  <w:num w:numId="22" w16cid:durableId="1000548610">
    <w:abstractNumId w:val="29"/>
  </w:num>
  <w:num w:numId="23" w16cid:durableId="1864514379">
    <w:abstractNumId w:val="9"/>
  </w:num>
  <w:num w:numId="24" w16cid:durableId="1052844862">
    <w:abstractNumId w:val="14"/>
  </w:num>
  <w:num w:numId="25" w16cid:durableId="1923830045">
    <w:abstractNumId w:val="1"/>
  </w:num>
  <w:num w:numId="26" w16cid:durableId="1456635066">
    <w:abstractNumId w:val="24"/>
  </w:num>
  <w:num w:numId="27" w16cid:durableId="310138114">
    <w:abstractNumId w:val="46"/>
  </w:num>
  <w:num w:numId="28" w16cid:durableId="644432431">
    <w:abstractNumId w:val="31"/>
  </w:num>
  <w:num w:numId="29" w16cid:durableId="1189638819">
    <w:abstractNumId w:val="21"/>
  </w:num>
  <w:num w:numId="30" w16cid:durableId="1641374395">
    <w:abstractNumId w:val="39"/>
  </w:num>
  <w:num w:numId="31" w16cid:durableId="572202503">
    <w:abstractNumId w:val="12"/>
  </w:num>
  <w:num w:numId="32" w16cid:durableId="1936817937">
    <w:abstractNumId w:val="50"/>
  </w:num>
  <w:num w:numId="33" w16cid:durableId="118496046">
    <w:abstractNumId w:val="44"/>
  </w:num>
  <w:num w:numId="34" w16cid:durableId="900599673">
    <w:abstractNumId w:val="22"/>
  </w:num>
  <w:num w:numId="35" w16cid:durableId="2053964834">
    <w:abstractNumId w:val="27"/>
  </w:num>
  <w:num w:numId="36" w16cid:durableId="575013285">
    <w:abstractNumId w:val="28"/>
  </w:num>
  <w:num w:numId="37" w16cid:durableId="1959027472">
    <w:abstractNumId w:val="4"/>
  </w:num>
  <w:num w:numId="38" w16cid:durableId="36782864">
    <w:abstractNumId w:val="2"/>
  </w:num>
  <w:num w:numId="39" w16cid:durableId="470829469">
    <w:abstractNumId w:val="36"/>
  </w:num>
  <w:num w:numId="40" w16cid:durableId="495924442">
    <w:abstractNumId w:val="35"/>
  </w:num>
  <w:num w:numId="41" w16cid:durableId="1812868787">
    <w:abstractNumId w:val="37"/>
  </w:num>
  <w:num w:numId="42" w16cid:durableId="1882859389">
    <w:abstractNumId w:val="18"/>
  </w:num>
  <w:num w:numId="43" w16cid:durableId="556629216">
    <w:abstractNumId w:val="41"/>
  </w:num>
  <w:num w:numId="44" w16cid:durableId="1986200676">
    <w:abstractNumId w:val="48"/>
  </w:num>
  <w:num w:numId="45" w16cid:durableId="909269644">
    <w:abstractNumId w:val="47"/>
  </w:num>
  <w:num w:numId="46" w16cid:durableId="1557160565">
    <w:abstractNumId w:val="51"/>
  </w:num>
  <w:num w:numId="47" w16cid:durableId="1127242439">
    <w:abstractNumId w:val="30"/>
  </w:num>
  <w:num w:numId="48" w16cid:durableId="1868986914">
    <w:abstractNumId w:val="25"/>
  </w:num>
  <w:num w:numId="49" w16cid:durableId="941913869">
    <w:abstractNumId w:val="0"/>
  </w:num>
  <w:num w:numId="50" w16cid:durableId="1031106863">
    <w:abstractNumId w:val="42"/>
  </w:num>
  <w:num w:numId="51" w16cid:durableId="2070416645">
    <w:abstractNumId w:val="10"/>
  </w:num>
  <w:num w:numId="52" w16cid:durableId="1133062757">
    <w:abstractNumId w:val="16"/>
  </w:num>
  <w:num w:numId="53" w16cid:durableId="1545945621">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61"/>
    <w:rsid w:val="00003FB3"/>
    <w:rsid w:val="0001277C"/>
    <w:rsid w:val="000134B5"/>
    <w:rsid w:val="00014685"/>
    <w:rsid w:val="00016804"/>
    <w:rsid w:val="000176D4"/>
    <w:rsid w:val="000200FC"/>
    <w:rsid w:val="000215C2"/>
    <w:rsid w:val="00031600"/>
    <w:rsid w:val="00032DC9"/>
    <w:rsid w:val="00036C0D"/>
    <w:rsid w:val="00045D04"/>
    <w:rsid w:val="00047FA3"/>
    <w:rsid w:val="0005009A"/>
    <w:rsid w:val="00050E75"/>
    <w:rsid w:val="00054E19"/>
    <w:rsid w:val="00054FF9"/>
    <w:rsid w:val="00055683"/>
    <w:rsid w:val="00066E5F"/>
    <w:rsid w:val="00071192"/>
    <w:rsid w:val="000713C8"/>
    <w:rsid w:val="00080A78"/>
    <w:rsid w:val="000822F3"/>
    <w:rsid w:val="000846E8"/>
    <w:rsid w:val="00085433"/>
    <w:rsid w:val="00087FB1"/>
    <w:rsid w:val="000968C0"/>
    <w:rsid w:val="000A7682"/>
    <w:rsid w:val="000B102B"/>
    <w:rsid w:val="000B6C26"/>
    <w:rsid w:val="000C427E"/>
    <w:rsid w:val="000C49A3"/>
    <w:rsid w:val="000C538B"/>
    <w:rsid w:val="000C59CB"/>
    <w:rsid w:val="000C5DF3"/>
    <w:rsid w:val="000C768B"/>
    <w:rsid w:val="000D07B1"/>
    <w:rsid w:val="000D38B4"/>
    <w:rsid w:val="000D65D6"/>
    <w:rsid w:val="000D75D1"/>
    <w:rsid w:val="000E1E27"/>
    <w:rsid w:val="000E4429"/>
    <w:rsid w:val="000F5B9E"/>
    <w:rsid w:val="000F644D"/>
    <w:rsid w:val="00102DEB"/>
    <w:rsid w:val="001106B8"/>
    <w:rsid w:val="0012176D"/>
    <w:rsid w:val="001239CE"/>
    <w:rsid w:val="00133E62"/>
    <w:rsid w:val="00134F22"/>
    <w:rsid w:val="001371B8"/>
    <w:rsid w:val="00137497"/>
    <w:rsid w:val="001378F8"/>
    <w:rsid w:val="00141D6F"/>
    <w:rsid w:val="0017736D"/>
    <w:rsid w:val="00180932"/>
    <w:rsid w:val="00182AE1"/>
    <w:rsid w:val="0019053F"/>
    <w:rsid w:val="00191725"/>
    <w:rsid w:val="00193F49"/>
    <w:rsid w:val="0019602A"/>
    <w:rsid w:val="001A330F"/>
    <w:rsid w:val="001A4C14"/>
    <w:rsid w:val="001A58C5"/>
    <w:rsid w:val="001B3864"/>
    <w:rsid w:val="001B3C4B"/>
    <w:rsid w:val="001B56ED"/>
    <w:rsid w:val="001C3AC8"/>
    <w:rsid w:val="001C4F02"/>
    <w:rsid w:val="001C566D"/>
    <w:rsid w:val="001E1010"/>
    <w:rsid w:val="001E6717"/>
    <w:rsid w:val="001E7590"/>
    <w:rsid w:val="001F5D10"/>
    <w:rsid w:val="00200A76"/>
    <w:rsid w:val="00201AD9"/>
    <w:rsid w:val="00203FB1"/>
    <w:rsid w:val="002042AB"/>
    <w:rsid w:val="00205257"/>
    <w:rsid w:val="00206784"/>
    <w:rsid w:val="0021732F"/>
    <w:rsid w:val="0022079B"/>
    <w:rsid w:val="002279F9"/>
    <w:rsid w:val="00227F42"/>
    <w:rsid w:val="00232A64"/>
    <w:rsid w:val="00233DA4"/>
    <w:rsid w:val="00241176"/>
    <w:rsid w:val="00241DF6"/>
    <w:rsid w:val="00252F45"/>
    <w:rsid w:val="0025359A"/>
    <w:rsid w:val="00255AC9"/>
    <w:rsid w:val="00255BFC"/>
    <w:rsid w:val="0025687C"/>
    <w:rsid w:val="00260D51"/>
    <w:rsid w:val="00261159"/>
    <w:rsid w:val="00264938"/>
    <w:rsid w:val="00275265"/>
    <w:rsid w:val="00281078"/>
    <w:rsid w:val="00282278"/>
    <w:rsid w:val="00282CFD"/>
    <w:rsid w:val="0028447E"/>
    <w:rsid w:val="002863D7"/>
    <w:rsid w:val="00287C10"/>
    <w:rsid w:val="0029037C"/>
    <w:rsid w:val="002903CF"/>
    <w:rsid w:val="002915FC"/>
    <w:rsid w:val="00291B9E"/>
    <w:rsid w:val="00291EF6"/>
    <w:rsid w:val="00292BBF"/>
    <w:rsid w:val="00297CBE"/>
    <w:rsid w:val="002A12C7"/>
    <w:rsid w:val="002A47EE"/>
    <w:rsid w:val="002B0653"/>
    <w:rsid w:val="002B1596"/>
    <w:rsid w:val="002B32B3"/>
    <w:rsid w:val="002C000F"/>
    <w:rsid w:val="002C4D1E"/>
    <w:rsid w:val="002D2705"/>
    <w:rsid w:val="002E1F85"/>
    <w:rsid w:val="002E21C7"/>
    <w:rsid w:val="002E2E7B"/>
    <w:rsid w:val="002E3E32"/>
    <w:rsid w:val="002E74D3"/>
    <w:rsid w:val="002F353F"/>
    <w:rsid w:val="002F685F"/>
    <w:rsid w:val="0030008F"/>
    <w:rsid w:val="0030056D"/>
    <w:rsid w:val="0030123E"/>
    <w:rsid w:val="0030196A"/>
    <w:rsid w:val="003037E6"/>
    <w:rsid w:val="00303A2C"/>
    <w:rsid w:val="00304584"/>
    <w:rsid w:val="00322EB1"/>
    <w:rsid w:val="00323892"/>
    <w:rsid w:val="0032713E"/>
    <w:rsid w:val="0034520B"/>
    <w:rsid w:val="00361133"/>
    <w:rsid w:val="00361931"/>
    <w:rsid w:val="00366896"/>
    <w:rsid w:val="0036751B"/>
    <w:rsid w:val="003679DD"/>
    <w:rsid w:val="003725BE"/>
    <w:rsid w:val="00375E65"/>
    <w:rsid w:val="00376305"/>
    <w:rsid w:val="00381ACA"/>
    <w:rsid w:val="00384581"/>
    <w:rsid w:val="003918AA"/>
    <w:rsid w:val="00392866"/>
    <w:rsid w:val="0039407F"/>
    <w:rsid w:val="0039424D"/>
    <w:rsid w:val="003A1A4A"/>
    <w:rsid w:val="003A2CAF"/>
    <w:rsid w:val="003A315C"/>
    <w:rsid w:val="003A40F4"/>
    <w:rsid w:val="003B4BA9"/>
    <w:rsid w:val="003B7E15"/>
    <w:rsid w:val="003C0BD9"/>
    <w:rsid w:val="003C1A9B"/>
    <w:rsid w:val="003C2E5A"/>
    <w:rsid w:val="003C586C"/>
    <w:rsid w:val="003C664D"/>
    <w:rsid w:val="003D4AE2"/>
    <w:rsid w:val="003D5103"/>
    <w:rsid w:val="003E18C0"/>
    <w:rsid w:val="003E2A17"/>
    <w:rsid w:val="003E647D"/>
    <w:rsid w:val="003F0E42"/>
    <w:rsid w:val="003F162F"/>
    <w:rsid w:val="003F1D03"/>
    <w:rsid w:val="003F24E5"/>
    <w:rsid w:val="00400C6D"/>
    <w:rsid w:val="0040137C"/>
    <w:rsid w:val="004034B9"/>
    <w:rsid w:val="0040364B"/>
    <w:rsid w:val="00406AA0"/>
    <w:rsid w:val="00414A9D"/>
    <w:rsid w:val="004156EA"/>
    <w:rsid w:val="0041599E"/>
    <w:rsid w:val="004226C8"/>
    <w:rsid w:val="0042274E"/>
    <w:rsid w:val="0042370A"/>
    <w:rsid w:val="004277F9"/>
    <w:rsid w:val="0043221F"/>
    <w:rsid w:val="00434024"/>
    <w:rsid w:val="00443BBF"/>
    <w:rsid w:val="0044670B"/>
    <w:rsid w:val="004538DA"/>
    <w:rsid w:val="00461602"/>
    <w:rsid w:val="00461C64"/>
    <w:rsid w:val="00466F4D"/>
    <w:rsid w:val="00470560"/>
    <w:rsid w:val="004742D6"/>
    <w:rsid w:val="00474B3B"/>
    <w:rsid w:val="004754BB"/>
    <w:rsid w:val="00475874"/>
    <w:rsid w:val="00480BF5"/>
    <w:rsid w:val="00484562"/>
    <w:rsid w:val="00484F65"/>
    <w:rsid w:val="00494467"/>
    <w:rsid w:val="00494B92"/>
    <w:rsid w:val="00495B3A"/>
    <w:rsid w:val="00497661"/>
    <w:rsid w:val="004A23AF"/>
    <w:rsid w:val="004A2F56"/>
    <w:rsid w:val="004B39C8"/>
    <w:rsid w:val="004B79A8"/>
    <w:rsid w:val="004C23BC"/>
    <w:rsid w:val="004C41CC"/>
    <w:rsid w:val="004C6118"/>
    <w:rsid w:val="004D0DC7"/>
    <w:rsid w:val="004D1740"/>
    <w:rsid w:val="004D40D9"/>
    <w:rsid w:val="004D4557"/>
    <w:rsid w:val="004D74E0"/>
    <w:rsid w:val="004D7A32"/>
    <w:rsid w:val="004E1E9D"/>
    <w:rsid w:val="004E42A6"/>
    <w:rsid w:val="004F07F0"/>
    <w:rsid w:val="004F14A7"/>
    <w:rsid w:val="004F34FC"/>
    <w:rsid w:val="004F375D"/>
    <w:rsid w:val="004F3B80"/>
    <w:rsid w:val="00502C99"/>
    <w:rsid w:val="00506DC8"/>
    <w:rsid w:val="005149E8"/>
    <w:rsid w:val="0051512B"/>
    <w:rsid w:val="0053101E"/>
    <w:rsid w:val="00536868"/>
    <w:rsid w:val="00540C43"/>
    <w:rsid w:val="00544395"/>
    <w:rsid w:val="005464A2"/>
    <w:rsid w:val="0056523A"/>
    <w:rsid w:val="00574904"/>
    <w:rsid w:val="00574F2A"/>
    <w:rsid w:val="0057624C"/>
    <w:rsid w:val="00580332"/>
    <w:rsid w:val="00584385"/>
    <w:rsid w:val="005A32D8"/>
    <w:rsid w:val="005A49CE"/>
    <w:rsid w:val="005A69A0"/>
    <w:rsid w:val="005B4A59"/>
    <w:rsid w:val="005B7F9C"/>
    <w:rsid w:val="005C0030"/>
    <w:rsid w:val="005C0AB4"/>
    <w:rsid w:val="005C16E4"/>
    <w:rsid w:val="005C307F"/>
    <w:rsid w:val="005C3128"/>
    <w:rsid w:val="005D1250"/>
    <w:rsid w:val="005D25D6"/>
    <w:rsid w:val="005D2A60"/>
    <w:rsid w:val="005D3711"/>
    <w:rsid w:val="005D5EE5"/>
    <w:rsid w:val="005D7FA8"/>
    <w:rsid w:val="005E2DD1"/>
    <w:rsid w:val="005E4213"/>
    <w:rsid w:val="005E6545"/>
    <w:rsid w:val="005E75CF"/>
    <w:rsid w:val="005F1FC5"/>
    <w:rsid w:val="005F2B23"/>
    <w:rsid w:val="005F3A28"/>
    <w:rsid w:val="005F3FDB"/>
    <w:rsid w:val="005F781B"/>
    <w:rsid w:val="00602C43"/>
    <w:rsid w:val="00611DA5"/>
    <w:rsid w:val="00622DD0"/>
    <w:rsid w:val="0062628C"/>
    <w:rsid w:val="006308FA"/>
    <w:rsid w:val="00636E7A"/>
    <w:rsid w:val="00641BAD"/>
    <w:rsid w:val="00645E63"/>
    <w:rsid w:val="00650C28"/>
    <w:rsid w:val="006536EF"/>
    <w:rsid w:val="00653E66"/>
    <w:rsid w:val="00656C67"/>
    <w:rsid w:val="00661A2A"/>
    <w:rsid w:val="006653BA"/>
    <w:rsid w:val="0067048C"/>
    <w:rsid w:val="006726B8"/>
    <w:rsid w:val="00672EF9"/>
    <w:rsid w:val="0067401C"/>
    <w:rsid w:val="00674E2D"/>
    <w:rsid w:val="00677733"/>
    <w:rsid w:val="00681D69"/>
    <w:rsid w:val="00685B70"/>
    <w:rsid w:val="00686E93"/>
    <w:rsid w:val="00690847"/>
    <w:rsid w:val="00693DB6"/>
    <w:rsid w:val="006A5898"/>
    <w:rsid w:val="006B10EB"/>
    <w:rsid w:val="006B21D6"/>
    <w:rsid w:val="006C0CAF"/>
    <w:rsid w:val="006C2F8D"/>
    <w:rsid w:val="006C6974"/>
    <w:rsid w:val="006D18FB"/>
    <w:rsid w:val="006D20AB"/>
    <w:rsid w:val="006E3915"/>
    <w:rsid w:val="006E7586"/>
    <w:rsid w:val="006F355A"/>
    <w:rsid w:val="006F4F2C"/>
    <w:rsid w:val="006F58C0"/>
    <w:rsid w:val="006F61B6"/>
    <w:rsid w:val="0070593D"/>
    <w:rsid w:val="00706C0E"/>
    <w:rsid w:val="00715093"/>
    <w:rsid w:val="007251FF"/>
    <w:rsid w:val="00725FED"/>
    <w:rsid w:val="0072795B"/>
    <w:rsid w:val="00745674"/>
    <w:rsid w:val="0074579A"/>
    <w:rsid w:val="00753731"/>
    <w:rsid w:val="0075449B"/>
    <w:rsid w:val="0075737A"/>
    <w:rsid w:val="00761C31"/>
    <w:rsid w:val="00766DF4"/>
    <w:rsid w:val="00775614"/>
    <w:rsid w:val="00776E2B"/>
    <w:rsid w:val="00780949"/>
    <w:rsid w:val="0078301A"/>
    <w:rsid w:val="00783D21"/>
    <w:rsid w:val="00786082"/>
    <w:rsid w:val="00786894"/>
    <w:rsid w:val="00795B7A"/>
    <w:rsid w:val="007A0287"/>
    <w:rsid w:val="007B0D20"/>
    <w:rsid w:val="007B0E53"/>
    <w:rsid w:val="007B6A3A"/>
    <w:rsid w:val="007B77B2"/>
    <w:rsid w:val="007C006C"/>
    <w:rsid w:val="007C1E6A"/>
    <w:rsid w:val="007C4194"/>
    <w:rsid w:val="007E4A4B"/>
    <w:rsid w:val="007E5AFB"/>
    <w:rsid w:val="007E77D5"/>
    <w:rsid w:val="007F03EF"/>
    <w:rsid w:val="007F2D71"/>
    <w:rsid w:val="007F3BE8"/>
    <w:rsid w:val="007F5E3F"/>
    <w:rsid w:val="00803572"/>
    <w:rsid w:val="00805212"/>
    <w:rsid w:val="0080767E"/>
    <w:rsid w:val="00810483"/>
    <w:rsid w:val="00811C7E"/>
    <w:rsid w:val="00812D0F"/>
    <w:rsid w:val="00814E45"/>
    <w:rsid w:val="00820BDF"/>
    <w:rsid w:val="00823F98"/>
    <w:rsid w:val="00825275"/>
    <w:rsid w:val="00825E2B"/>
    <w:rsid w:val="008271DB"/>
    <w:rsid w:val="00840AD3"/>
    <w:rsid w:val="008412DB"/>
    <w:rsid w:val="00853952"/>
    <w:rsid w:val="00857789"/>
    <w:rsid w:val="00867A98"/>
    <w:rsid w:val="008713E9"/>
    <w:rsid w:val="00873836"/>
    <w:rsid w:val="00873F9E"/>
    <w:rsid w:val="00881C39"/>
    <w:rsid w:val="00884489"/>
    <w:rsid w:val="00884D76"/>
    <w:rsid w:val="00887661"/>
    <w:rsid w:val="008948D0"/>
    <w:rsid w:val="008966D3"/>
    <w:rsid w:val="00897920"/>
    <w:rsid w:val="008A1C24"/>
    <w:rsid w:val="008A5072"/>
    <w:rsid w:val="008B44B5"/>
    <w:rsid w:val="008C30A0"/>
    <w:rsid w:val="008C3B5E"/>
    <w:rsid w:val="008D681F"/>
    <w:rsid w:val="008E5837"/>
    <w:rsid w:val="008E6F47"/>
    <w:rsid w:val="00901133"/>
    <w:rsid w:val="00901D13"/>
    <w:rsid w:val="00902E52"/>
    <w:rsid w:val="0091196E"/>
    <w:rsid w:val="009173C8"/>
    <w:rsid w:val="009209F5"/>
    <w:rsid w:val="009218BC"/>
    <w:rsid w:val="009224A3"/>
    <w:rsid w:val="00933479"/>
    <w:rsid w:val="00935024"/>
    <w:rsid w:val="009379C0"/>
    <w:rsid w:val="00941E66"/>
    <w:rsid w:val="00947A2D"/>
    <w:rsid w:val="009614FA"/>
    <w:rsid w:val="00961A26"/>
    <w:rsid w:val="00964DCF"/>
    <w:rsid w:val="009723B0"/>
    <w:rsid w:val="00972DC3"/>
    <w:rsid w:val="00973872"/>
    <w:rsid w:val="00974446"/>
    <w:rsid w:val="00980EED"/>
    <w:rsid w:val="009851D8"/>
    <w:rsid w:val="00985639"/>
    <w:rsid w:val="00985C44"/>
    <w:rsid w:val="00994C27"/>
    <w:rsid w:val="0099567B"/>
    <w:rsid w:val="009A2795"/>
    <w:rsid w:val="009A2C0D"/>
    <w:rsid w:val="009A4F43"/>
    <w:rsid w:val="009B395F"/>
    <w:rsid w:val="009B494F"/>
    <w:rsid w:val="009B5D71"/>
    <w:rsid w:val="009B5FA5"/>
    <w:rsid w:val="009C13FC"/>
    <w:rsid w:val="009C2DCE"/>
    <w:rsid w:val="009C3E23"/>
    <w:rsid w:val="009C4C6D"/>
    <w:rsid w:val="009C5BEB"/>
    <w:rsid w:val="009D1F31"/>
    <w:rsid w:val="009D2BD0"/>
    <w:rsid w:val="009D350B"/>
    <w:rsid w:val="009D445B"/>
    <w:rsid w:val="009D4C83"/>
    <w:rsid w:val="009E0995"/>
    <w:rsid w:val="009E10F2"/>
    <w:rsid w:val="009E11AE"/>
    <w:rsid w:val="009E2449"/>
    <w:rsid w:val="009E403B"/>
    <w:rsid w:val="009E4344"/>
    <w:rsid w:val="009E5265"/>
    <w:rsid w:val="009E7573"/>
    <w:rsid w:val="009F0866"/>
    <w:rsid w:val="00A00037"/>
    <w:rsid w:val="00A00113"/>
    <w:rsid w:val="00A01B1D"/>
    <w:rsid w:val="00A01F72"/>
    <w:rsid w:val="00A10BD2"/>
    <w:rsid w:val="00A10D86"/>
    <w:rsid w:val="00A112B6"/>
    <w:rsid w:val="00A11B57"/>
    <w:rsid w:val="00A1384E"/>
    <w:rsid w:val="00A1643E"/>
    <w:rsid w:val="00A22CCD"/>
    <w:rsid w:val="00A26FDD"/>
    <w:rsid w:val="00A31A65"/>
    <w:rsid w:val="00A35342"/>
    <w:rsid w:val="00A353E0"/>
    <w:rsid w:val="00A36215"/>
    <w:rsid w:val="00A37AF4"/>
    <w:rsid w:val="00A41A24"/>
    <w:rsid w:val="00A45CCB"/>
    <w:rsid w:val="00A57DD1"/>
    <w:rsid w:val="00A63E0B"/>
    <w:rsid w:val="00A77C85"/>
    <w:rsid w:val="00A90D43"/>
    <w:rsid w:val="00A92495"/>
    <w:rsid w:val="00AB6549"/>
    <w:rsid w:val="00AB6B03"/>
    <w:rsid w:val="00AC63E2"/>
    <w:rsid w:val="00AC710A"/>
    <w:rsid w:val="00AD35F9"/>
    <w:rsid w:val="00AD3DC1"/>
    <w:rsid w:val="00AE43CF"/>
    <w:rsid w:val="00AF0FB4"/>
    <w:rsid w:val="00AF2CC9"/>
    <w:rsid w:val="00AF4188"/>
    <w:rsid w:val="00AF5EE7"/>
    <w:rsid w:val="00AF5F60"/>
    <w:rsid w:val="00AF7941"/>
    <w:rsid w:val="00B00643"/>
    <w:rsid w:val="00B0439B"/>
    <w:rsid w:val="00B04F4F"/>
    <w:rsid w:val="00B15C8C"/>
    <w:rsid w:val="00B244EB"/>
    <w:rsid w:val="00B24C64"/>
    <w:rsid w:val="00B24DF8"/>
    <w:rsid w:val="00B31BE2"/>
    <w:rsid w:val="00B32530"/>
    <w:rsid w:val="00B356D4"/>
    <w:rsid w:val="00B416D7"/>
    <w:rsid w:val="00B43A32"/>
    <w:rsid w:val="00B44E8E"/>
    <w:rsid w:val="00B45233"/>
    <w:rsid w:val="00B47E51"/>
    <w:rsid w:val="00B54E2E"/>
    <w:rsid w:val="00B64521"/>
    <w:rsid w:val="00B70803"/>
    <w:rsid w:val="00B71087"/>
    <w:rsid w:val="00B72382"/>
    <w:rsid w:val="00B75464"/>
    <w:rsid w:val="00B75746"/>
    <w:rsid w:val="00B82EF2"/>
    <w:rsid w:val="00B92144"/>
    <w:rsid w:val="00B969DA"/>
    <w:rsid w:val="00B97811"/>
    <w:rsid w:val="00BA22CD"/>
    <w:rsid w:val="00BB30E2"/>
    <w:rsid w:val="00BB66BE"/>
    <w:rsid w:val="00BB7B8F"/>
    <w:rsid w:val="00BC2D82"/>
    <w:rsid w:val="00BC2DB4"/>
    <w:rsid w:val="00BC47DD"/>
    <w:rsid w:val="00BC5DF9"/>
    <w:rsid w:val="00BC6A45"/>
    <w:rsid w:val="00BC6F2A"/>
    <w:rsid w:val="00BD1357"/>
    <w:rsid w:val="00BD2274"/>
    <w:rsid w:val="00BD2895"/>
    <w:rsid w:val="00BD2EB0"/>
    <w:rsid w:val="00BD79E2"/>
    <w:rsid w:val="00BE4250"/>
    <w:rsid w:val="00BE6753"/>
    <w:rsid w:val="00C119FB"/>
    <w:rsid w:val="00C15B8D"/>
    <w:rsid w:val="00C22208"/>
    <w:rsid w:val="00C30DDC"/>
    <w:rsid w:val="00C314E5"/>
    <w:rsid w:val="00C34CA8"/>
    <w:rsid w:val="00C400F3"/>
    <w:rsid w:val="00C46A5C"/>
    <w:rsid w:val="00C50016"/>
    <w:rsid w:val="00C508B6"/>
    <w:rsid w:val="00C51C8F"/>
    <w:rsid w:val="00C51ED4"/>
    <w:rsid w:val="00C52231"/>
    <w:rsid w:val="00C52A06"/>
    <w:rsid w:val="00C56ACA"/>
    <w:rsid w:val="00C63620"/>
    <w:rsid w:val="00C64FCB"/>
    <w:rsid w:val="00C725D2"/>
    <w:rsid w:val="00C7789F"/>
    <w:rsid w:val="00C77D7B"/>
    <w:rsid w:val="00C809A4"/>
    <w:rsid w:val="00C9158A"/>
    <w:rsid w:val="00C94684"/>
    <w:rsid w:val="00C97548"/>
    <w:rsid w:val="00C975E8"/>
    <w:rsid w:val="00CA45D9"/>
    <w:rsid w:val="00CB0C11"/>
    <w:rsid w:val="00CB1BC5"/>
    <w:rsid w:val="00CB3228"/>
    <w:rsid w:val="00CB4A52"/>
    <w:rsid w:val="00CB7089"/>
    <w:rsid w:val="00CC60AE"/>
    <w:rsid w:val="00CE4DE4"/>
    <w:rsid w:val="00CE78C6"/>
    <w:rsid w:val="00CE7E76"/>
    <w:rsid w:val="00CF2359"/>
    <w:rsid w:val="00CF392C"/>
    <w:rsid w:val="00CF6868"/>
    <w:rsid w:val="00D01EF5"/>
    <w:rsid w:val="00D030B6"/>
    <w:rsid w:val="00D0551E"/>
    <w:rsid w:val="00D07201"/>
    <w:rsid w:val="00D1196D"/>
    <w:rsid w:val="00D11D2C"/>
    <w:rsid w:val="00D144C6"/>
    <w:rsid w:val="00D2281D"/>
    <w:rsid w:val="00D2380A"/>
    <w:rsid w:val="00D25B24"/>
    <w:rsid w:val="00D304F0"/>
    <w:rsid w:val="00D3310C"/>
    <w:rsid w:val="00D42347"/>
    <w:rsid w:val="00D43F39"/>
    <w:rsid w:val="00D45CE4"/>
    <w:rsid w:val="00D47536"/>
    <w:rsid w:val="00D501B8"/>
    <w:rsid w:val="00D53E93"/>
    <w:rsid w:val="00D56DEB"/>
    <w:rsid w:val="00D64BC3"/>
    <w:rsid w:val="00D6515C"/>
    <w:rsid w:val="00D70708"/>
    <w:rsid w:val="00D73990"/>
    <w:rsid w:val="00D744C2"/>
    <w:rsid w:val="00D819CD"/>
    <w:rsid w:val="00D81FD1"/>
    <w:rsid w:val="00D8422D"/>
    <w:rsid w:val="00D845F5"/>
    <w:rsid w:val="00D84CFC"/>
    <w:rsid w:val="00D8580F"/>
    <w:rsid w:val="00D91312"/>
    <w:rsid w:val="00D92E9D"/>
    <w:rsid w:val="00D966F7"/>
    <w:rsid w:val="00DA13CB"/>
    <w:rsid w:val="00DA55CD"/>
    <w:rsid w:val="00DA69CB"/>
    <w:rsid w:val="00DB0F37"/>
    <w:rsid w:val="00DC00CB"/>
    <w:rsid w:val="00DC078B"/>
    <w:rsid w:val="00DC4F90"/>
    <w:rsid w:val="00DC5937"/>
    <w:rsid w:val="00DD1D1C"/>
    <w:rsid w:val="00DD1D6A"/>
    <w:rsid w:val="00DD2FBE"/>
    <w:rsid w:val="00DE0D6A"/>
    <w:rsid w:val="00DE1960"/>
    <w:rsid w:val="00DE3755"/>
    <w:rsid w:val="00DE6CEC"/>
    <w:rsid w:val="00DF001A"/>
    <w:rsid w:val="00E0295B"/>
    <w:rsid w:val="00E03D3A"/>
    <w:rsid w:val="00E1037C"/>
    <w:rsid w:val="00E124C6"/>
    <w:rsid w:val="00E16044"/>
    <w:rsid w:val="00E16DA9"/>
    <w:rsid w:val="00E1733F"/>
    <w:rsid w:val="00E22E29"/>
    <w:rsid w:val="00E27454"/>
    <w:rsid w:val="00E275F0"/>
    <w:rsid w:val="00E3065D"/>
    <w:rsid w:val="00E32388"/>
    <w:rsid w:val="00E40746"/>
    <w:rsid w:val="00E40BBF"/>
    <w:rsid w:val="00E44AFA"/>
    <w:rsid w:val="00E455C7"/>
    <w:rsid w:val="00E52995"/>
    <w:rsid w:val="00E535DF"/>
    <w:rsid w:val="00E57C7A"/>
    <w:rsid w:val="00E624D1"/>
    <w:rsid w:val="00E6589D"/>
    <w:rsid w:val="00E671A9"/>
    <w:rsid w:val="00E672A2"/>
    <w:rsid w:val="00E71F92"/>
    <w:rsid w:val="00E7239B"/>
    <w:rsid w:val="00E801F0"/>
    <w:rsid w:val="00E87C13"/>
    <w:rsid w:val="00E87C37"/>
    <w:rsid w:val="00E949DF"/>
    <w:rsid w:val="00E978DA"/>
    <w:rsid w:val="00EA05A5"/>
    <w:rsid w:val="00EA101C"/>
    <w:rsid w:val="00EA1AC5"/>
    <w:rsid w:val="00EA1C1A"/>
    <w:rsid w:val="00EA4A7C"/>
    <w:rsid w:val="00EA6252"/>
    <w:rsid w:val="00EB003D"/>
    <w:rsid w:val="00EB4406"/>
    <w:rsid w:val="00EB64C7"/>
    <w:rsid w:val="00EB7E2A"/>
    <w:rsid w:val="00EC6074"/>
    <w:rsid w:val="00ED52B7"/>
    <w:rsid w:val="00EE6BF6"/>
    <w:rsid w:val="00EF29C6"/>
    <w:rsid w:val="00EF6E20"/>
    <w:rsid w:val="00EF7C4D"/>
    <w:rsid w:val="00F1108D"/>
    <w:rsid w:val="00F17C1E"/>
    <w:rsid w:val="00F242CD"/>
    <w:rsid w:val="00F24904"/>
    <w:rsid w:val="00F31D7E"/>
    <w:rsid w:val="00F37BBA"/>
    <w:rsid w:val="00F37EB7"/>
    <w:rsid w:val="00F42976"/>
    <w:rsid w:val="00F453CB"/>
    <w:rsid w:val="00F57C46"/>
    <w:rsid w:val="00F6378F"/>
    <w:rsid w:val="00F63EF8"/>
    <w:rsid w:val="00F67F46"/>
    <w:rsid w:val="00F751CD"/>
    <w:rsid w:val="00F7563C"/>
    <w:rsid w:val="00F77062"/>
    <w:rsid w:val="00F81481"/>
    <w:rsid w:val="00F82CED"/>
    <w:rsid w:val="00F832DF"/>
    <w:rsid w:val="00F8350F"/>
    <w:rsid w:val="00F84399"/>
    <w:rsid w:val="00F85C8A"/>
    <w:rsid w:val="00F91E73"/>
    <w:rsid w:val="00FA7FA4"/>
    <w:rsid w:val="00FB4901"/>
    <w:rsid w:val="00FB71B0"/>
    <w:rsid w:val="00FB71F0"/>
    <w:rsid w:val="00FC11EB"/>
    <w:rsid w:val="00FC1B1E"/>
    <w:rsid w:val="00FC6661"/>
    <w:rsid w:val="00FD18AC"/>
    <w:rsid w:val="00FD5248"/>
    <w:rsid w:val="00FD5E02"/>
    <w:rsid w:val="00FE1569"/>
    <w:rsid w:val="00FE296B"/>
    <w:rsid w:val="00FF6849"/>
    <w:rsid w:val="00FF75F1"/>
    <w:rsid w:val="00FF7685"/>
    <w:rsid w:val="243E0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48938"/>
  <w15:docId w15:val="{C4E4F2FE-2DFD-4E59-A7B9-C9E6B856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w:eastAsiaTheme="minorEastAsia" w:hAnsi="FS Me" w:cstheme="minorBidi"/>
        <w:sz w:val="22"/>
        <w:szCs w:val="22"/>
        <w:lang w:val="en-GB"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semiHidden="1" w:uiPriority="9" w:unhideWhenUsed="1"/>
    <w:lsdException w:name="heading 4" w:semiHidden="1" w:uiPriority="9"/>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0"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semiHidden="1" w:uiPriority="1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semiHidden="1" w:uiPriority="0"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nhideWhenUsed="1"/>
    <w:lsdException w:name="Table Grid" w:uiPriority="0"/>
    <w:lsdException w:name="Table Theme" w:locked="0"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locked="0"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1"/>
    <w:qFormat/>
    <w:rsid w:val="00FD5248"/>
    <w:pPr>
      <w:spacing w:after="0"/>
    </w:pPr>
  </w:style>
  <w:style w:type="paragraph" w:styleId="Heading1">
    <w:name w:val="heading 1"/>
    <w:basedOn w:val="Normal"/>
    <w:next w:val="Normal"/>
    <w:link w:val="Heading1Char"/>
    <w:uiPriority w:val="1"/>
    <w:qFormat/>
    <w:rsid w:val="00EF6E20"/>
    <w:pPr>
      <w:keepNext/>
      <w:keepLines/>
      <w:outlineLvl w:val="0"/>
    </w:pPr>
    <w:rPr>
      <w:rFonts w:eastAsiaTheme="majorEastAsia" w:cstheme="majorBidi"/>
      <w:b/>
      <w:bCs/>
      <w:caps/>
    </w:rPr>
  </w:style>
  <w:style w:type="paragraph" w:styleId="Heading2">
    <w:name w:val="heading 2"/>
    <w:basedOn w:val="Normal"/>
    <w:next w:val="Normal"/>
    <w:link w:val="Heading2Char"/>
    <w:uiPriority w:val="1"/>
    <w:unhideWhenUsed/>
    <w:qFormat/>
    <w:rsid w:val="00E455C7"/>
    <w:pPr>
      <w:keepNext/>
      <w:keepLines/>
      <w:outlineLvl w:val="1"/>
    </w:pPr>
    <w:rPr>
      <w:rFonts w:eastAsia="Times New Roman" w:cstheme="majorBidi"/>
      <w:b/>
      <w:bCs/>
      <w:szCs w:val="26"/>
    </w:rPr>
  </w:style>
  <w:style w:type="paragraph" w:styleId="Heading3">
    <w:name w:val="heading 3"/>
    <w:basedOn w:val="Normal"/>
    <w:next w:val="Normal"/>
    <w:link w:val="Heading3Char"/>
    <w:uiPriority w:val="9"/>
    <w:semiHidden/>
    <w:locked/>
    <w:rsid w:val="00D25B2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autoRedefine/>
    <w:uiPriority w:val="11"/>
    <w:semiHidden/>
    <w:locked/>
    <w:rsid w:val="00D8580F"/>
    <w:pPr>
      <w:spacing w:before="240" w:after="240"/>
    </w:pPr>
    <w:rPr>
      <w:rFonts w:eastAsia="Times New Roman" w:cs="Tahoma"/>
      <w:b/>
      <w:sz w:val="28"/>
      <w:szCs w:val="28"/>
      <w:lang w:val="en-AU"/>
    </w:rPr>
  </w:style>
  <w:style w:type="character" w:customStyle="1" w:styleId="TitleChar">
    <w:name w:val="Title Char"/>
    <w:basedOn w:val="DefaultParagraphFont"/>
    <w:link w:val="Title"/>
    <w:uiPriority w:val="11"/>
    <w:semiHidden/>
    <w:rsid w:val="008948D0"/>
    <w:rPr>
      <w:rFonts w:eastAsia="Times New Roman" w:cs="Tahoma"/>
      <w:b/>
      <w:sz w:val="28"/>
      <w:szCs w:val="28"/>
      <w:lang w:val="en-AU"/>
    </w:rPr>
  </w:style>
  <w:style w:type="paragraph" w:styleId="IntenseQuote">
    <w:name w:val="Intense Quote"/>
    <w:basedOn w:val="Normal"/>
    <w:next w:val="Normal"/>
    <w:link w:val="IntenseQuoteChar"/>
    <w:uiPriority w:val="30"/>
    <w:semiHidden/>
    <w:locked/>
    <w:rsid w:val="002C000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8948D0"/>
    <w:rPr>
      <w:b/>
      <w:bCs/>
      <w:i/>
      <w:iCs/>
      <w:color w:val="4F81BD" w:themeColor="accent1"/>
    </w:rPr>
  </w:style>
  <w:style w:type="character" w:customStyle="1" w:styleId="Heading1Char">
    <w:name w:val="Heading 1 Char"/>
    <w:basedOn w:val="DefaultParagraphFont"/>
    <w:link w:val="Heading1"/>
    <w:uiPriority w:val="1"/>
    <w:rsid w:val="00EF6E20"/>
    <w:rPr>
      <w:rFonts w:eastAsiaTheme="majorEastAsia" w:cstheme="majorBidi"/>
      <w:b/>
      <w:bCs/>
      <w:caps/>
    </w:rPr>
  </w:style>
  <w:style w:type="character" w:customStyle="1" w:styleId="Heading2Char">
    <w:name w:val="Heading 2 Char"/>
    <w:basedOn w:val="DefaultParagraphFont"/>
    <w:link w:val="Heading2"/>
    <w:uiPriority w:val="1"/>
    <w:rsid w:val="00E455C7"/>
    <w:rPr>
      <w:rFonts w:eastAsia="Times New Roman" w:cstheme="majorBidi"/>
      <w:b/>
      <w:bCs/>
      <w:szCs w:val="26"/>
    </w:rPr>
  </w:style>
  <w:style w:type="character" w:customStyle="1" w:styleId="Heading3Char">
    <w:name w:val="Heading 3 Char"/>
    <w:basedOn w:val="DefaultParagraphFont"/>
    <w:link w:val="Heading3"/>
    <w:uiPriority w:val="9"/>
    <w:semiHidden/>
    <w:rsid w:val="008948D0"/>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1"/>
    <w:qFormat/>
    <w:locked/>
    <w:rsid w:val="00D25B24"/>
    <w:pPr>
      <w:ind w:left="720"/>
      <w:contextualSpacing/>
    </w:pPr>
  </w:style>
  <w:style w:type="paragraph" w:customStyle="1" w:styleId="BulletList1">
    <w:name w:val="Bullet List 1"/>
    <w:basedOn w:val="ListParagraph"/>
    <w:link w:val="BulletList1Char"/>
    <w:uiPriority w:val="2"/>
    <w:qFormat/>
    <w:rsid w:val="00303A2C"/>
    <w:pPr>
      <w:numPr>
        <w:numId w:val="1"/>
      </w:numPr>
      <w:spacing w:before="120" w:after="100" w:afterAutospacing="1"/>
      <w:ind w:left="709" w:hanging="284"/>
      <w:contextualSpacing w:val="0"/>
    </w:pPr>
    <w:rPr>
      <w:rFonts w:eastAsia="Times New Roman"/>
    </w:rPr>
  </w:style>
  <w:style w:type="paragraph" w:customStyle="1" w:styleId="BulletList2">
    <w:name w:val="Bullet List 2"/>
    <w:basedOn w:val="BulletList1"/>
    <w:link w:val="BulletList2Char"/>
    <w:uiPriority w:val="2"/>
    <w:qFormat/>
    <w:rsid w:val="00FF75F1"/>
    <w:pPr>
      <w:numPr>
        <w:ilvl w:val="1"/>
      </w:numPr>
      <w:ind w:left="1276" w:hanging="284"/>
      <w:contextualSpacing/>
    </w:pPr>
  </w:style>
  <w:style w:type="character" w:customStyle="1" w:styleId="ListParagraphChar">
    <w:name w:val="List Paragraph Char"/>
    <w:basedOn w:val="DefaultParagraphFont"/>
    <w:link w:val="ListParagraph"/>
    <w:uiPriority w:val="34"/>
    <w:rsid w:val="008948D0"/>
  </w:style>
  <w:style w:type="character" w:customStyle="1" w:styleId="BulletList1Char">
    <w:name w:val="Bullet List 1 Char"/>
    <w:basedOn w:val="ListParagraphChar"/>
    <w:link w:val="BulletList1"/>
    <w:uiPriority w:val="2"/>
    <w:rsid w:val="00303A2C"/>
    <w:rPr>
      <w:rFonts w:eastAsia="Times New Roman"/>
    </w:rPr>
  </w:style>
  <w:style w:type="paragraph" w:styleId="Quote">
    <w:name w:val="Quote"/>
    <w:aliases w:val="Quote 1"/>
    <w:basedOn w:val="Normal"/>
    <w:next w:val="Normal"/>
    <w:link w:val="QuoteChar"/>
    <w:uiPriority w:val="3"/>
    <w:qFormat/>
    <w:rsid w:val="00EF29C6"/>
    <w:pPr>
      <w:ind w:left="992" w:right="1809"/>
      <w:contextualSpacing/>
    </w:pPr>
    <w:rPr>
      <w:rFonts w:eastAsia="Times New Roman"/>
      <w:i/>
      <w:iCs/>
      <w:color w:val="000000" w:themeColor="text1"/>
    </w:rPr>
  </w:style>
  <w:style w:type="character" w:customStyle="1" w:styleId="BulletList2Char">
    <w:name w:val="Bullet List 2 Char"/>
    <w:basedOn w:val="BulletList1Char"/>
    <w:link w:val="BulletList2"/>
    <w:uiPriority w:val="2"/>
    <w:rsid w:val="00761C31"/>
    <w:rPr>
      <w:rFonts w:eastAsia="Times New Roman"/>
    </w:rPr>
  </w:style>
  <w:style w:type="character" w:customStyle="1" w:styleId="QuoteChar">
    <w:name w:val="Quote Char"/>
    <w:aliases w:val="Quote 1 Char"/>
    <w:basedOn w:val="DefaultParagraphFont"/>
    <w:link w:val="Quote"/>
    <w:uiPriority w:val="3"/>
    <w:rsid w:val="00EF29C6"/>
    <w:rPr>
      <w:rFonts w:eastAsia="Times New Roman"/>
      <w:i/>
      <w:iCs/>
      <w:color w:val="000000" w:themeColor="text1"/>
    </w:rPr>
  </w:style>
  <w:style w:type="paragraph" w:customStyle="1" w:styleId="NumberedList1">
    <w:name w:val="Numbered List 1"/>
    <w:basedOn w:val="ListParagraph"/>
    <w:link w:val="NumberedList1Char"/>
    <w:uiPriority w:val="2"/>
    <w:qFormat/>
    <w:rsid w:val="00761C31"/>
    <w:pPr>
      <w:numPr>
        <w:numId w:val="2"/>
      </w:numPr>
      <w:ind w:left="426" w:hanging="426"/>
      <w:contextualSpacing w:val="0"/>
    </w:pPr>
    <w:rPr>
      <w:rFonts w:eastAsia="Times New Roman"/>
    </w:rPr>
  </w:style>
  <w:style w:type="paragraph" w:customStyle="1" w:styleId="Title1">
    <w:name w:val="Title1"/>
    <w:basedOn w:val="Title"/>
    <w:link w:val="Title1Char"/>
    <w:qFormat/>
    <w:rsid w:val="00EF6E20"/>
    <w:pPr>
      <w:spacing w:before="0" w:after="0"/>
    </w:pPr>
    <w:rPr>
      <w:lang w:val="en-GB"/>
    </w:rPr>
  </w:style>
  <w:style w:type="character" w:customStyle="1" w:styleId="NumberedList1Char">
    <w:name w:val="Numbered List 1 Char"/>
    <w:basedOn w:val="ListParagraphChar"/>
    <w:link w:val="NumberedList1"/>
    <w:uiPriority w:val="2"/>
    <w:rsid w:val="00761C31"/>
    <w:rPr>
      <w:rFonts w:eastAsia="Times New Roman"/>
    </w:rPr>
  </w:style>
  <w:style w:type="character" w:customStyle="1" w:styleId="Title1Char">
    <w:name w:val="Title1 Char"/>
    <w:basedOn w:val="TitleChar"/>
    <w:link w:val="Title1"/>
    <w:rsid w:val="00EF6E20"/>
    <w:rPr>
      <w:rFonts w:eastAsia="Times New Roman" w:cs="Tahoma"/>
      <w:b/>
      <w:sz w:val="28"/>
      <w:szCs w:val="28"/>
      <w:lang w:val="en-AU"/>
    </w:rPr>
  </w:style>
  <w:style w:type="paragraph" w:styleId="BodyText2">
    <w:name w:val="Body Text 2"/>
    <w:basedOn w:val="Normal"/>
    <w:link w:val="BodyText2Char"/>
    <w:autoRedefine/>
    <w:uiPriority w:val="11"/>
    <w:semiHidden/>
    <w:locked/>
    <w:rsid w:val="00375E65"/>
    <w:pPr>
      <w:numPr>
        <w:numId w:val="3"/>
      </w:numPr>
      <w:tabs>
        <w:tab w:val="clear" w:pos="502"/>
      </w:tabs>
      <w:spacing w:before="120" w:after="120"/>
      <w:ind w:left="709" w:hanging="425"/>
    </w:pPr>
    <w:rPr>
      <w:rFonts w:eastAsia="Times New Roman" w:cs="Tahoma"/>
      <w:bCs/>
      <w:lang w:val="en-AU"/>
    </w:rPr>
  </w:style>
  <w:style w:type="character" w:customStyle="1" w:styleId="BodyText2Char">
    <w:name w:val="Body Text 2 Char"/>
    <w:basedOn w:val="DefaultParagraphFont"/>
    <w:link w:val="BodyText2"/>
    <w:uiPriority w:val="11"/>
    <w:semiHidden/>
    <w:rsid w:val="008948D0"/>
    <w:rPr>
      <w:rFonts w:eastAsia="Times New Roman" w:cs="Tahoma"/>
      <w:bCs/>
      <w:lang w:val="en-AU"/>
    </w:rPr>
  </w:style>
  <w:style w:type="paragraph" w:styleId="NoSpacing">
    <w:name w:val="No Spacing"/>
    <w:uiPriority w:val="1"/>
    <w:qFormat/>
    <w:locked/>
    <w:rsid w:val="008948D0"/>
    <w:pPr>
      <w:spacing w:after="0"/>
    </w:pPr>
  </w:style>
  <w:style w:type="paragraph" w:customStyle="1" w:styleId="Letteredlist1">
    <w:name w:val="Lettered list 1"/>
    <w:basedOn w:val="ListParagraph"/>
    <w:link w:val="Letteredlist1Char"/>
    <w:uiPriority w:val="2"/>
    <w:qFormat/>
    <w:rsid w:val="00EF29C6"/>
    <w:pPr>
      <w:numPr>
        <w:numId w:val="4"/>
      </w:numPr>
      <w:spacing w:before="120" w:after="100" w:afterAutospacing="1"/>
      <w:ind w:left="709" w:hanging="284"/>
      <w:contextualSpacing w:val="0"/>
    </w:pPr>
  </w:style>
  <w:style w:type="character" w:customStyle="1" w:styleId="Letteredlist1Char">
    <w:name w:val="Lettered list 1 Char"/>
    <w:basedOn w:val="ListParagraphChar"/>
    <w:link w:val="Letteredlist1"/>
    <w:uiPriority w:val="2"/>
    <w:rsid w:val="00EF29C6"/>
  </w:style>
  <w:style w:type="character" w:styleId="SubtleEmphasis">
    <w:name w:val="Subtle Emphasis"/>
    <w:basedOn w:val="DefaultParagraphFont"/>
    <w:uiPriority w:val="19"/>
    <w:semiHidden/>
    <w:locked/>
    <w:rsid w:val="008948D0"/>
    <w:rPr>
      <w:i/>
      <w:iCs/>
      <w:color w:val="808080" w:themeColor="text1" w:themeTint="7F"/>
    </w:rPr>
  </w:style>
  <w:style w:type="character" w:styleId="Emphasis">
    <w:name w:val="Emphasis"/>
    <w:basedOn w:val="DefaultParagraphFont"/>
    <w:uiPriority w:val="20"/>
    <w:semiHidden/>
    <w:locked/>
    <w:rsid w:val="008948D0"/>
    <w:rPr>
      <w:i/>
      <w:iCs/>
    </w:rPr>
  </w:style>
  <w:style w:type="character" w:styleId="IntenseEmphasis">
    <w:name w:val="Intense Emphasis"/>
    <w:basedOn w:val="DefaultParagraphFont"/>
    <w:uiPriority w:val="21"/>
    <w:semiHidden/>
    <w:locked/>
    <w:rsid w:val="008948D0"/>
    <w:rPr>
      <w:b/>
      <w:bCs/>
      <w:i/>
      <w:iCs/>
      <w:color w:val="4F81BD" w:themeColor="accent1"/>
    </w:rPr>
  </w:style>
  <w:style w:type="character" w:styleId="Strong">
    <w:name w:val="Strong"/>
    <w:basedOn w:val="DefaultParagraphFont"/>
    <w:uiPriority w:val="22"/>
    <w:semiHidden/>
    <w:locked/>
    <w:rsid w:val="008948D0"/>
    <w:rPr>
      <w:b/>
      <w:bCs/>
    </w:rPr>
  </w:style>
  <w:style w:type="character" w:styleId="IntenseReference">
    <w:name w:val="Intense Reference"/>
    <w:basedOn w:val="DefaultParagraphFont"/>
    <w:uiPriority w:val="32"/>
    <w:semiHidden/>
    <w:locked/>
    <w:rsid w:val="008948D0"/>
    <w:rPr>
      <w:b/>
      <w:bCs/>
      <w:smallCaps/>
      <w:color w:val="C0504D" w:themeColor="accent2"/>
      <w:spacing w:val="5"/>
      <w:u w:val="single"/>
    </w:rPr>
  </w:style>
  <w:style w:type="paragraph" w:styleId="Header">
    <w:name w:val="header"/>
    <w:basedOn w:val="Normal"/>
    <w:link w:val="HeaderChar"/>
    <w:uiPriority w:val="99"/>
    <w:unhideWhenUsed/>
    <w:rsid w:val="00E275F0"/>
    <w:pPr>
      <w:tabs>
        <w:tab w:val="center" w:pos="4513"/>
        <w:tab w:val="right" w:pos="9026"/>
      </w:tabs>
    </w:pPr>
  </w:style>
  <w:style w:type="character" w:customStyle="1" w:styleId="HeaderChar">
    <w:name w:val="Header Char"/>
    <w:basedOn w:val="DefaultParagraphFont"/>
    <w:link w:val="Header"/>
    <w:uiPriority w:val="99"/>
    <w:rsid w:val="00E275F0"/>
  </w:style>
  <w:style w:type="paragraph" w:styleId="Footer">
    <w:name w:val="footer"/>
    <w:basedOn w:val="Normal"/>
    <w:link w:val="FooterChar"/>
    <w:unhideWhenUsed/>
    <w:rsid w:val="00E275F0"/>
    <w:pPr>
      <w:tabs>
        <w:tab w:val="center" w:pos="4513"/>
        <w:tab w:val="right" w:pos="9026"/>
      </w:tabs>
    </w:pPr>
  </w:style>
  <w:style w:type="character" w:customStyle="1" w:styleId="FooterChar">
    <w:name w:val="Footer Char"/>
    <w:basedOn w:val="DefaultParagraphFont"/>
    <w:link w:val="Footer"/>
    <w:rsid w:val="00E275F0"/>
  </w:style>
  <w:style w:type="character" w:styleId="CommentReference">
    <w:name w:val="annotation reference"/>
    <w:basedOn w:val="DefaultParagraphFont"/>
    <w:uiPriority w:val="99"/>
    <w:semiHidden/>
    <w:unhideWhenUsed/>
    <w:rsid w:val="00F37EB7"/>
    <w:rPr>
      <w:sz w:val="16"/>
      <w:szCs w:val="16"/>
    </w:rPr>
  </w:style>
  <w:style w:type="paragraph" w:styleId="CommentText">
    <w:name w:val="annotation text"/>
    <w:basedOn w:val="Normal"/>
    <w:link w:val="CommentTextChar"/>
    <w:uiPriority w:val="99"/>
    <w:semiHidden/>
    <w:unhideWhenUsed/>
    <w:rsid w:val="00F37EB7"/>
    <w:rPr>
      <w:sz w:val="20"/>
      <w:szCs w:val="20"/>
    </w:rPr>
  </w:style>
  <w:style w:type="character" w:customStyle="1" w:styleId="CommentTextChar">
    <w:name w:val="Comment Text Char"/>
    <w:basedOn w:val="DefaultParagraphFont"/>
    <w:link w:val="CommentText"/>
    <w:uiPriority w:val="99"/>
    <w:semiHidden/>
    <w:rsid w:val="00F37EB7"/>
    <w:rPr>
      <w:sz w:val="20"/>
      <w:szCs w:val="20"/>
    </w:rPr>
  </w:style>
  <w:style w:type="paragraph" w:styleId="CommentSubject">
    <w:name w:val="annotation subject"/>
    <w:basedOn w:val="CommentText"/>
    <w:next w:val="CommentText"/>
    <w:link w:val="CommentSubjectChar"/>
    <w:uiPriority w:val="99"/>
    <w:semiHidden/>
    <w:unhideWhenUsed/>
    <w:rsid w:val="00F37EB7"/>
    <w:rPr>
      <w:b/>
      <w:bCs/>
    </w:rPr>
  </w:style>
  <w:style w:type="character" w:customStyle="1" w:styleId="CommentSubjectChar">
    <w:name w:val="Comment Subject Char"/>
    <w:basedOn w:val="CommentTextChar"/>
    <w:link w:val="CommentSubject"/>
    <w:uiPriority w:val="99"/>
    <w:semiHidden/>
    <w:rsid w:val="00F37EB7"/>
    <w:rPr>
      <w:b/>
      <w:bCs/>
      <w:sz w:val="20"/>
      <w:szCs w:val="20"/>
    </w:rPr>
  </w:style>
  <w:style w:type="paragraph" w:styleId="BalloonText">
    <w:name w:val="Balloon Text"/>
    <w:basedOn w:val="Normal"/>
    <w:link w:val="BalloonTextChar"/>
    <w:uiPriority w:val="99"/>
    <w:semiHidden/>
    <w:unhideWhenUsed/>
    <w:rsid w:val="00F37E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EB7"/>
    <w:rPr>
      <w:rFonts w:ascii="Segoe UI" w:hAnsi="Segoe UI" w:cs="Segoe UI"/>
      <w:sz w:val="18"/>
      <w:szCs w:val="18"/>
    </w:rPr>
  </w:style>
  <w:style w:type="paragraph" w:customStyle="1" w:styleId="TableParagraph">
    <w:name w:val="Table Paragraph"/>
    <w:basedOn w:val="Normal"/>
    <w:uiPriority w:val="1"/>
    <w:qFormat/>
    <w:rsid w:val="00414A9D"/>
    <w:pPr>
      <w:widowControl w:val="0"/>
      <w:autoSpaceDE w:val="0"/>
      <w:autoSpaceDN w:val="0"/>
    </w:pPr>
    <w:rPr>
      <w:rFonts w:ascii="Franklin Gothic Book" w:eastAsia="Franklin Gothic Book" w:hAnsi="Franklin Gothic Book" w:cs="Franklin Gothic Book"/>
      <w:lang w:val="en-US"/>
    </w:rPr>
  </w:style>
  <w:style w:type="paragraph" w:styleId="BodyText">
    <w:name w:val="Body Text"/>
    <w:basedOn w:val="Normal"/>
    <w:link w:val="BodyTextChar"/>
    <w:uiPriority w:val="99"/>
    <w:semiHidden/>
    <w:unhideWhenUsed/>
    <w:rsid w:val="009D2BD0"/>
    <w:pPr>
      <w:spacing w:after="120"/>
    </w:pPr>
  </w:style>
  <w:style w:type="character" w:customStyle="1" w:styleId="BodyTextChar">
    <w:name w:val="Body Text Char"/>
    <w:basedOn w:val="DefaultParagraphFont"/>
    <w:link w:val="BodyText"/>
    <w:uiPriority w:val="99"/>
    <w:semiHidden/>
    <w:rsid w:val="009D2BD0"/>
  </w:style>
  <w:style w:type="paragraph" w:styleId="Revision">
    <w:name w:val="Revision"/>
    <w:hidden/>
    <w:uiPriority w:val="99"/>
    <w:semiHidden/>
    <w:rsid w:val="001106B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3170">
      <w:bodyDiv w:val="1"/>
      <w:marLeft w:val="0"/>
      <w:marRight w:val="0"/>
      <w:marTop w:val="0"/>
      <w:marBottom w:val="0"/>
      <w:divBdr>
        <w:top w:val="none" w:sz="0" w:space="0" w:color="auto"/>
        <w:left w:val="none" w:sz="0" w:space="0" w:color="auto"/>
        <w:bottom w:val="none" w:sz="0" w:space="0" w:color="auto"/>
        <w:right w:val="none" w:sz="0" w:space="0" w:color="auto"/>
      </w:divBdr>
    </w:div>
    <w:div w:id="140192523">
      <w:bodyDiv w:val="1"/>
      <w:marLeft w:val="0"/>
      <w:marRight w:val="0"/>
      <w:marTop w:val="0"/>
      <w:marBottom w:val="0"/>
      <w:divBdr>
        <w:top w:val="none" w:sz="0" w:space="0" w:color="auto"/>
        <w:left w:val="none" w:sz="0" w:space="0" w:color="auto"/>
        <w:bottom w:val="none" w:sz="0" w:space="0" w:color="auto"/>
        <w:right w:val="none" w:sz="0" w:space="0" w:color="auto"/>
      </w:divBdr>
    </w:div>
    <w:div w:id="364330819">
      <w:bodyDiv w:val="1"/>
      <w:marLeft w:val="0"/>
      <w:marRight w:val="0"/>
      <w:marTop w:val="0"/>
      <w:marBottom w:val="0"/>
      <w:divBdr>
        <w:top w:val="none" w:sz="0" w:space="0" w:color="auto"/>
        <w:left w:val="none" w:sz="0" w:space="0" w:color="auto"/>
        <w:bottom w:val="none" w:sz="0" w:space="0" w:color="auto"/>
        <w:right w:val="none" w:sz="0" w:space="0" w:color="auto"/>
      </w:divBdr>
    </w:div>
    <w:div w:id="452481737">
      <w:bodyDiv w:val="1"/>
      <w:marLeft w:val="0"/>
      <w:marRight w:val="0"/>
      <w:marTop w:val="0"/>
      <w:marBottom w:val="0"/>
      <w:divBdr>
        <w:top w:val="none" w:sz="0" w:space="0" w:color="auto"/>
        <w:left w:val="none" w:sz="0" w:space="0" w:color="auto"/>
        <w:bottom w:val="none" w:sz="0" w:space="0" w:color="auto"/>
        <w:right w:val="none" w:sz="0" w:space="0" w:color="auto"/>
      </w:divBdr>
    </w:div>
    <w:div w:id="577860069">
      <w:bodyDiv w:val="1"/>
      <w:marLeft w:val="0"/>
      <w:marRight w:val="0"/>
      <w:marTop w:val="0"/>
      <w:marBottom w:val="0"/>
      <w:divBdr>
        <w:top w:val="none" w:sz="0" w:space="0" w:color="auto"/>
        <w:left w:val="none" w:sz="0" w:space="0" w:color="auto"/>
        <w:bottom w:val="none" w:sz="0" w:space="0" w:color="auto"/>
        <w:right w:val="none" w:sz="0" w:space="0" w:color="auto"/>
      </w:divBdr>
    </w:div>
    <w:div w:id="619726797">
      <w:bodyDiv w:val="1"/>
      <w:marLeft w:val="0"/>
      <w:marRight w:val="0"/>
      <w:marTop w:val="0"/>
      <w:marBottom w:val="0"/>
      <w:divBdr>
        <w:top w:val="none" w:sz="0" w:space="0" w:color="auto"/>
        <w:left w:val="none" w:sz="0" w:space="0" w:color="auto"/>
        <w:bottom w:val="none" w:sz="0" w:space="0" w:color="auto"/>
        <w:right w:val="none" w:sz="0" w:space="0" w:color="auto"/>
      </w:divBdr>
    </w:div>
    <w:div w:id="904418843">
      <w:bodyDiv w:val="1"/>
      <w:marLeft w:val="0"/>
      <w:marRight w:val="0"/>
      <w:marTop w:val="0"/>
      <w:marBottom w:val="0"/>
      <w:divBdr>
        <w:top w:val="none" w:sz="0" w:space="0" w:color="auto"/>
        <w:left w:val="none" w:sz="0" w:space="0" w:color="auto"/>
        <w:bottom w:val="none" w:sz="0" w:space="0" w:color="auto"/>
        <w:right w:val="none" w:sz="0" w:space="0" w:color="auto"/>
      </w:divBdr>
    </w:div>
    <w:div w:id="909391263">
      <w:bodyDiv w:val="1"/>
      <w:marLeft w:val="0"/>
      <w:marRight w:val="0"/>
      <w:marTop w:val="0"/>
      <w:marBottom w:val="0"/>
      <w:divBdr>
        <w:top w:val="none" w:sz="0" w:space="0" w:color="auto"/>
        <w:left w:val="none" w:sz="0" w:space="0" w:color="auto"/>
        <w:bottom w:val="none" w:sz="0" w:space="0" w:color="auto"/>
        <w:right w:val="none" w:sz="0" w:space="0" w:color="auto"/>
      </w:divBdr>
    </w:div>
    <w:div w:id="1162620514">
      <w:bodyDiv w:val="1"/>
      <w:marLeft w:val="0"/>
      <w:marRight w:val="0"/>
      <w:marTop w:val="0"/>
      <w:marBottom w:val="0"/>
      <w:divBdr>
        <w:top w:val="none" w:sz="0" w:space="0" w:color="auto"/>
        <w:left w:val="none" w:sz="0" w:space="0" w:color="auto"/>
        <w:bottom w:val="none" w:sz="0" w:space="0" w:color="auto"/>
        <w:right w:val="none" w:sz="0" w:space="0" w:color="auto"/>
      </w:divBdr>
    </w:div>
    <w:div w:id="1318798132">
      <w:bodyDiv w:val="1"/>
      <w:marLeft w:val="0"/>
      <w:marRight w:val="0"/>
      <w:marTop w:val="0"/>
      <w:marBottom w:val="0"/>
      <w:divBdr>
        <w:top w:val="none" w:sz="0" w:space="0" w:color="auto"/>
        <w:left w:val="none" w:sz="0" w:space="0" w:color="auto"/>
        <w:bottom w:val="none" w:sz="0" w:space="0" w:color="auto"/>
        <w:right w:val="none" w:sz="0" w:space="0" w:color="auto"/>
      </w:divBdr>
    </w:div>
    <w:div w:id="211212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esfa-subcontracting-standard/esfa-subcontracting-standar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artnik.STUDENT\AppData\Local\Microsoft\Windows\INetCache\Content.MSO\8193DB5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4B16CE4277D8A43ADCCD2CA7A57598B" ma:contentTypeVersion="0" ma:contentTypeDescription="Create a new document." ma:contentTypeScope="" ma:versionID="15c34c805edac0b05d505eb4a305e942">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97330-4072-4D86-852A-91F837625E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C32219-BF5E-40BD-93B7-DCE3B9473B49}">
  <ds:schemaRefs>
    <ds:schemaRef ds:uri="http://schemas.microsoft.com/sharepoint/v3/contenttype/forms"/>
  </ds:schemaRefs>
</ds:datastoreItem>
</file>

<file path=customXml/itemProps3.xml><?xml version="1.0" encoding="utf-8"?>
<ds:datastoreItem xmlns:ds="http://schemas.openxmlformats.org/officeDocument/2006/customXml" ds:itemID="{AC78DAB5-1339-49F1-868E-98E59EAD1C5A}">
  <ds:schemaRefs>
    <ds:schemaRef ds:uri="http://schemas.openxmlformats.org/officeDocument/2006/bibliography"/>
  </ds:schemaRefs>
</ds:datastoreItem>
</file>

<file path=customXml/itemProps4.xml><?xml version="1.0" encoding="utf-8"?>
<ds:datastoreItem xmlns:ds="http://schemas.openxmlformats.org/officeDocument/2006/customXml" ds:itemID="{2CF31787-C550-41DE-ABBD-BF3EE9563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8193DB57</Template>
  <TotalTime>795</TotalTime>
  <Pages>1</Pages>
  <Words>6617</Words>
  <Characters>38118</Characters>
  <Application>Microsoft Office Word</Application>
  <DocSecurity>0</DocSecurity>
  <Lines>828</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Bartnik</dc:creator>
  <cp:keywords/>
  <cp:lastModifiedBy>Lauren Williams [Leadership &amp; Management]</cp:lastModifiedBy>
  <cp:revision>92</cp:revision>
  <cp:lastPrinted>2026-04-08T14:52:00Z</cp:lastPrinted>
  <dcterms:created xsi:type="dcterms:W3CDTF">2026-03-10T14:30:00Z</dcterms:created>
  <dcterms:modified xsi:type="dcterms:W3CDTF">2026-07-08T09:23:00Z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0x01010064B16CE4277D8A43ADCCD2CA7A57598B</vt:lpwstr>
  </property>
  <property fmtid="{D5CDD505-2E9C-101B-9397-08002B2CF9AE}" pid="3" name="docLang">
    <vt:lpwstr>en</vt:lpwstr>
  </property>
  <property fmtid="{D5CDD505-2E9C-101B-9397-08002B2CF9AE}" pid="4" name="MediaServiceImageTags">
    <vt:lpwstr/>
  </property>
</Properties>
</file>